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2A66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42F6CD7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4A6F2928" w14:textId="77777777" w:rsid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258AAE16" w14:textId="77777777" w:rsidR="00DD012E" w:rsidRPr="00DD012E" w:rsidRDefault="00DD012E" w:rsidP="00DD012E">
      <w:pPr>
        <w:spacing w:line="360" w:lineRule="auto"/>
        <w:jc w:val="center"/>
        <w:rPr>
          <w:b/>
          <w:color w:val="00B050"/>
        </w:rPr>
      </w:pPr>
    </w:p>
    <w:p w14:paraId="54455191" w14:textId="2FAB607F" w:rsidR="00DD012E" w:rsidRPr="0067724E" w:rsidRDefault="00D069CD" w:rsidP="00DD012E">
      <w:pPr>
        <w:jc w:val="center"/>
        <w:rPr>
          <w:b/>
          <w:color w:val="943634" w:themeColor="accent2" w:themeShade="BF"/>
          <w:sz w:val="72"/>
          <w:szCs w:val="72"/>
        </w:rPr>
      </w:pPr>
      <w:r w:rsidRPr="0067724E">
        <w:rPr>
          <w:b/>
          <w:color w:val="943634" w:themeColor="accent2" w:themeShade="BF"/>
          <w:sz w:val="72"/>
          <w:szCs w:val="72"/>
        </w:rPr>
        <w:t>D 1.1</w:t>
      </w:r>
      <w:r w:rsidR="00923140">
        <w:rPr>
          <w:b/>
          <w:color w:val="943634" w:themeColor="accent2" w:themeShade="BF"/>
          <w:sz w:val="72"/>
          <w:szCs w:val="72"/>
        </w:rPr>
        <w:t>.1</w:t>
      </w:r>
      <w:r w:rsidRPr="0067724E">
        <w:rPr>
          <w:b/>
          <w:color w:val="943634" w:themeColor="accent2" w:themeShade="BF"/>
          <w:sz w:val="72"/>
          <w:szCs w:val="72"/>
        </w:rPr>
        <w:t xml:space="preserve"> - </w:t>
      </w:r>
      <w:r w:rsidR="00DD012E" w:rsidRPr="0067724E">
        <w:rPr>
          <w:b/>
          <w:color w:val="943634" w:themeColor="accent2" w:themeShade="BF"/>
          <w:sz w:val="72"/>
          <w:szCs w:val="72"/>
        </w:rPr>
        <w:t>TECHNICKÁ ZPRÁVA</w:t>
      </w:r>
    </w:p>
    <w:p w14:paraId="0256FDC6" w14:textId="77777777" w:rsidR="00DD012E" w:rsidRDefault="00DD012E" w:rsidP="00DD012E">
      <w:pPr>
        <w:jc w:val="center"/>
        <w:rPr>
          <w:i/>
          <w:color w:val="000000" w:themeColor="text1"/>
          <w:sz w:val="32"/>
          <w:szCs w:val="32"/>
        </w:rPr>
      </w:pPr>
    </w:p>
    <w:p w14:paraId="5E523D17" w14:textId="77777777" w:rsidR="00DD012E" w:rsidRDefault="00DD012E" w:rsidP="00DD012E">
      <w:pPr>
        <w:jc w:val="center"/>
        <w:rPr>
          <w:color w:val="000000" w:themeColor="text1"/>
          <w:sz w:val="28"/>
          <w:szCs w:val="28"/>
        </w:rPr>
      </w:pPr>
    </w:p>
    <w:p w14:paraId="13FE82FD" w14:textId="77777777" w:rsidR="00DD012E" w:rsidRDefault="00DD012E" w:rsidP="00E75E72"/>
    <w:p w14:paraId="25F3D00B" w14:textId="77777777" w:rsidR="00E75E72" w:rsidRDefault="00E75E72" w:rsidP="00E75E72"/>
    <w:p w14:paraId="15810F50" w14:textId="77777777" w:rsidR="00432516" w:rsidRDefault="00432516" w:rsidP="00E75E72"/>
    <w:p w14:paraId="13353753" w14:textId="77777777" w:rsidR="00432516" w:rsidRDefault="00432516" w:rsidP="00E75E72"/>
    <w:p w14:paraId="7B9814A9" w14:textId="77777777" w:rsidR="00432516" w:rsidRDefault="00432516" w:rsidP="00E75E72"/>
    <w:p w14:paraId="752E9CF3" w14:textId="77777777" w:rsidR="0043649F" w:rsidRDefault="0043649F" w:rsidP="00E75E72">
      <w:pPr>
        <w:rPr>
          <w:sz w:val="18"/>
          <w:szCs w:val="18"/>
        </w:rPr>
      </w:pPr>
    </w:p>
    <w:p w14:paraId="184819B4" w14:textId="77777777" w:rsidR="0043649F" w:rsidRDefault="0043649F" w:rsidP="00E75E72">
      <w:pPr>
        <w:rPr>
          <w:sz w:val="18"/>
          <w:szCs w:val="18"/>
        </w:rPr>
      </w:pPr>
    </w:p>
    <w:p w14:paraId="210ED8F2" w14:textId="77777777" w:rsidR="00EC2F82" w:rsidRDefault="00EC2F82" w:rsidP="00E75E72">
      <w:pPr>
        <w:rPr>
          <w:sz w:val="18"/>
          <w:szCs w:val="18"/>
        </w:rPr>
      </w:pPr>
    </w:p>
    <w:p w14:paraId="51A58B7D" w14:textId="77777777" w:rsidR="00EC2F82" w:rsidRDefault="00EC2F82" w:rsidP="00E75E72">
      <w:pPr>
        <w:rPr>
          <w:sz w:val="18"/>
          <w:szCs w:val="18"/>
        </w:rPr>
      </w:pPr>
    </w:p>
    <w:p w14:paraId="56E51080" w14:textId="77777777" w:rsidR="00D131DD" w:rsidRPr="00D131DD" w:rsidRDefault="00D131DD" w:rsidP="00E75E72">
      <w:pPr>
        <w:rPr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4"/>
        <w:gridCol w:w="4053"/>
        <w:gridCol w:w="1816"/>
      </w:tblGrid>
      <w:tr w:rsidR="00E80467" w14:paraId="01A40498" w14:textId="77777777" w:rsidTr="00144CC5">
        <w:trPr>
          <w:trHeight w:val="994"/>
        </w:trPr>
        <w:tc>
          <w:tcPr>
            <w:tcW w:w="9823" w:type="dxa"/>
            <w:gridSpan w:val="3"/>
            <w:tcBorders>
              <w:bottom w:val="single" w:sz="4" w:space="0" w:color="auto"/>
            </w:tcBorders>
          </w:tcPr>
          <w:p w14:paraId="422E8136" w14:textId="21CDFF4E" w:rsidR="00923140" w:rsidRPr="00923140" w:rsidRDefault="00923140" w:rsidP="009231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</w:pPr>
            <w:bookmarkStart w:id="0" w:name="_Hlk505675864"/>
            <w:r w:rsidRPr="00923140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„</w:t>
            </w:r>
            <w:r w:rsidR="005342BA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 xml:space="preserve">Zateplení BD </w:t>
            </w:r>
            <w:r w:rsidR="00B82C21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V</w:t>
            </w:r>
            <w:r w:rsidR="005342BA">
              <w:rPr>
                <w:rFonts w:ascii="Segoe UI" w:eastAsia="Microsoft JhengHei" w:hAnsi="Segoe UI" w:cs="Segoe UI"/>
                <w:b/>
                <w:color w:val="943634" w:themeColor="accent2" w:themeShade="BF"/>
                <w:sz w:val="40"/>
                <w:szCs w:val="40"/>
              </w:rPr>
              <w:t>eselí 22“</w:t>
            </w:r>
          </w:p>
          <w:p w14:paraId="2CB6F364" w14:textId="4821F374" w:rsidR="00E80467" w:rsidRPr="00DB08DD" w:rsidRDefault="00E80467" w:rsidP="00923140">
            <w:pPr>
              <w:spacing w:before="60" w:after="60"/>
              <w:jc w:val="center"/>
              <w:rPr>
                <w:rFonts w:ascii="Segoe UI" w:eastAsia="Microsoft JhengHei" w:hAnsi="Segoe UI" w:cs="Segoe UI"/>
                <w:b/>
                <w:color w:val="39BB05"/>
                <w:sz w:val="36"/>
                <w:szCs w:val="36"/>
              </w:rPr>
            </w:pPr>
          </w:p>
        </w:tc>
      </w:tr>
      <w:tr w:rsidR="005F1123" w14:paraId="4591B6EC" w14:textId="77777777" w:rsidTr="00144CC5">
        <w:trPr>
          <w:trHeight w:val="952"/>
        </w:trPr>
        <w:tc>
          <w:tcPr>
            <w:tcW w:w="3954" w:type="dxa"/>
            <w:tcBorders>
              <w:top w:val="single" w:sz="4" w:space="0" w:color="auto"/>
            </w:tcBorders>
          </w:tcPr>
          <w:p w14:paraId="0C50F6B7" w14:textId="77777777" w:rsidR="00E80467" w:rsidRPr="00933D8F" w:rsidRDefault="00E80467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Místo stavby:</w:t>
            </w:r>
          </w:p>
        </w:tc>
        <w:tc>
          <w:tcPr>
            <w:tcW w:w="5869" w:type="dxa"/>
            <w:gridSpan w:val="2"/>
            <w:tcBorders>
              <w:top w:val="single" w:sz="4" w:space="0" w:color="auto"/>
            </w:tcBorders>
          </w:tcPr>
          <w:p w14:paraId="69D5AE6F" w14:textId="7E60AE3E" w:rsidR="00E80467" w:rsidRPr="008A0551" w:rsidRDefault="005342BA" w:rsidP="00FA25D1">
            <w:pPr>
              <w:spacing w:after="60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Veselí 22, 742 35 Odry</w:t>
            </w:r>
          </w:p>
        </w:tc>
      </w:tr>
      <w:tr w:rsidR="005F1123" w14:paraId="3BC15406" w14:textId="77777777" w:rsidTr="005A7175">
        <w:trPr>
          <w:trHeight w:val="343"/>
        </w:trPr>
        <w:tc>
          <w:tcPr>
            <w:tcW w:w="3954" w:type="dxa"/>
          </w:tcPr>
          <w:p w14:paraId="02234EC2" w14:textId="10FFAF48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color w:val="000000" w:themeColor="text1"/>
                <w:sz w:val="28"/>
                <w:szCs w:val="28"/>
              </w:rPr>
              <w:t>Investor:</w:t>
            </w:r>
            <w:r w:rsidR="00C03FD3">
              <w:rPr>
                <w:rFonts w:ascii="Segoe UI" w:eastAsia="Microsoft JhengHei" w:hAnsi="Segoe UI" w:cs="Segoe UI"/>
                <w:b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5869" w:type="dxa"/>
            <w:gridSpan w:val="2"/>
          </w:tcPr>
          <w:p w14:paraId="2FD59C15" w14:textId="77777777" w:rsidR="00E80467" w:rsidRDefault="005342BA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b/>
                <w:sz w:val="28"/>
                <w:szCs w:val="28"/>
              </w:rPr>
              <w:t>MĚSTO ODRY</w:t>
            </w:r>
          </w:p>
          <w:p w14:paraId="1E65A03F" w14:textId="218EDF2D" w:rsidR="005342BA" w:rsidRPr="00D71D92" w:rsidRDefault="005342BA" w:rsidP="00D71D92">
            <w:pPr>
              <w:spacing w:line="276" w:lineRule="auto"/>
              <w:rPr>
                <w:rFonts w:ascii="Calibri Light" w:eastAsia="Microsoft JhengHei" w:hAnsi="Calibri Light"/>
                <w:b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b/>
                <w:sz w:val="28"/>
                <w:szCs w:val="28"/>
              </w:rPr>
              <w:t>Masarykovo náměstí 16/25, 742 35 Odry</w:t>
            </w:r>
          </w:p>
        </w:tc>
      </w:tr>
      <w:tr w:rsidR="005F1123" w14:paraId="50A1A2D8" w14:textId="77777777" w:rsidTr="005A7175">
        <w:tc>
          <w:tcPr>
            <w:tcW w:w="3954" w:type="dxa"/>
          </w:tcPr>
          <w:p w14:paraId="5F9C7F72" w14:textId="77777777" w:rsidR="00E80467" w:rsidRDefault="00402FC6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rFonts w:ascii="Segoe UI" w:eastAsia="Microsoft JhengHei" w:hAnsi="Segoe UI" w:cs="Segoe UI"/>
                <w:b/>
                <w:sz w:val="28"/>
                <w:szCs w:val="28"/>
              </w:rPr>
              <w:t>P</w:t>
            </w:r>
            <w:r w:rsidR="00E80467"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rojektant:</w:t>
            </w:r>
          </w:p>
          <w:p w14:paraId="02C13A6F" w14:textId="0D73E8C2" w:rsidR="00425E3B" w:rsidRPr="00933D8F" w:rsidRDefault="00425E3B" w:rsidP="00624E03">
            <w:pPr>
              <w:spacing w:before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2B516DF" wp14:editId="20645BBF">
                  <wp:extent cx="1829972" cy="314949"/>
                  <wp:effectExtent l="0" t="0" r="0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622" cy="360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9" w:type="dxa"/>
            <w:gridSpan w:val="2"/>
          </w:tcPr>
          <w:p w14:paraId="39A31170" w14:textId="45B3D3E3" w:rsidR="00B94C63" w:rsidRDefault="00B94C63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</w:p>
          <w:p w14:paraId="7BB749A2" w14:textId="77777777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Made 4 BIM s.r.o.</w:t>
            </w:r>
          </w:p>
          <w:p w14:paraId="4722485F" w14:textId="77777777" w:rsid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Varšavská 1866/103</w:t>
            </w:r>
          </w:p>
          <w:p w14:paraId="4190D38C" w14:textId="7464F1F3" w:rsidR="00D71D92" w:rsidRPr="00D71D92" w:rsidRDefault="00D71D92" w:rsidP="00D71D92">
            <w:pPr>
              <w:spacing w:line="276" w:lineRule="auto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D71D92">
              <w:rPr>
                <w:rFonts w:ascii="Calibri Light" w:eastAsia="Microsoft JhengHei" w:hAnsi="Calibri Light"/>
                <w:sz w:val="28"/>
                <w:szCs w:val="28"/>
              </w:rPr>
              <w:t>Hulváky 709 00 Ostrava</w:t>
            </w:r>
            <w:r w:rsidR="00425E3B">
              <w:t xml:space="preserve"> </w:t>
            </w:r>
          </w:p>
          <w:p w14:paraId="2B50E217" w14:textId="2CD40316" w:rsidR="000834D7" w:rsidRPr="000834D7" w:rsidRDefault="00D71D92" w:rsidP="000834D7">
            <w:pPr>
              <w:spacing w:line="250" w:lineRule="auto"/>
              <w:jc w:val="left"/>
              <w:rPr>
                <w:rFonts w:ascii="Calibri Light" w:eastAsia="Microsoft JhengHei" w:hAnsi="Calibri Light"/>
                <w:sz w:val="28"/>
                <w:szCs w:val="28"/>
              </w:rPr>
            </w:pPr>
            <w:r>
              <w:rPr>
                <w:rFonts w:ascii="Calibri Light" w:eastAsia="Microsoft JhengHei" w:hAnsi="Calibri Light"/>
                <w:sz w:val="28"/>
                <w:szCs w:val="28"/>
              </w:rPr>
              <w:t>pavelklus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@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gmail</w:t>
            </w:r>
            <w:r w:rsidR="000834D7" w:rsidRPr="000834D7">
              <w:rPr>
                <w:rFonts w:ascii="Calibri Light" w:eastAsia="Microsoft JhengHei" w:hAnsi="Calibri Light"/>
                <w:sz w:val="28"/>
                <w:szCs w:val="28"/>
              </w:rPr>
              <w:t>.c</w:t>
            </w:r>
            <w:r>
              <w:rPr>
                <w:rFonts w:ascii="Calibri Light" w:eastAsia="Microsoft JhengHei" w:hAnsi="Calibri Light"/>
                <w:sz w:val="28"/>
                <w:szCs w:val="28"/>
              </w:rPr>
              <w:t>om</w:t>
            </w:r>
          </w:p>
          <w:p w14:paraId="32A67CB3" w14:textId="0B3E1289" w:rsidR="00474779" w:rsidRDefault="000834D7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  <w:r w:rsidRPr="000834D7">
              <w:rPr>
                <w:rFonts w:ascii="Calibri Light" w:eastAsia="Microsoft JhengHei" w:hAnsi="Calibri Light"/>
                <w:sz w:val="28"/>
                <w:szCs w:val="28"/>
              </w:rPr>
              <w:t>+420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 777 189</w:t>
            </w:r>
            <w:r w:rsidR="00474779">
              <w:rPr>
                <w:rFonts w:ascii="Calibri Light" w:eastAsia="Microsoft JhengHei" w:hAnsi="Calibri Light"/>
                <w:sz w:val="28"/>
                <w:szCs w:val="28"/>
              </w:rPr>
              <w:t> </w:t>
            </w:r>
            <w:r w:rsidR="00D71D92">
              <w:rPr>
                <w:rFonts w:ascii="Calibri Light" w:eastAsia="Microsoft JhengHei" w:hAnsi="Calibri Light"/>
                <w:sz w:val="28"/>
                <w:szCs w:val="28"/>
              </w:rPr>
              <w:t>376</w:t>
            </w:r>
          </w:p>
          <w:p w14:paraId="070E74C0" w14:textId="31F8D8EB" w:rsidR="00474779" w:rsidRPr="00474779" w:rsidRDefault="00474779" w:rsidP="000834D7">
            <w:pPr>
              <w:spacing w:after="120"/>
              <w:rPr>
                <w:rFonts w:ascii="Calibri Light" w:eastAsia="Microsoft JhengHei" w:hAnsi="Calibri Light"/>
                <w:sz w:val="28"/>
                <w:szCs w:val="28"/>
              </w:rPr>
            </w:pPr>
          </w:p>
        </w:tc>
      </w:tr>
      <w:tr w:rsidR="00425E3B" w14:paraId="7FD2B5D4" w14:textId="77777777" w:rsidTr="005A7175">
        <w:tc>
          <w:tcPr>
            <w:tcW w:w="3954" w:type="dxa"/>
          </w:tcPr>
          <w:p w14:paraId="63F1220A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Zodpovědný projektant:</w:t>
            </w:r>
          </w:p>
        </w:tc>
        <w:tc>
          <w:tcPr>
            <w:tcW w:w="4053" w:type="dxa"/>
          </w:tcPr>
          <w:p w14:paraId="34B3D737" w14:textId="3977BC3D" w:rsidR="00E80467" w:rsidRDefault="0053700C" w:rsidP="00624E03">
            <w:pPr>
              <w:tabs>
                <w:tab w:val="left" w:pos="3566"/>
              </w:tabs>
              <w:spacing w:before="120"/>
              <w:rPr>
                <w:rFonts w:ascii="Calibri Light" w:hAnsi="Calibri Light" w:cs="ArialMT"/>
                <w:sz w:val="28"/>
                <w:szCs w:val="28"/>
              </w:rPr>
            </w:pPr>
            <w:r w:rsidRPr="0053700C">
              <w:rPr>
                <w:rFonts w:ascii="Calibri Light" w:hAnsi="Calibri Light" w:cs="ArialMT"/>
                <w:sz w:val="28"/>
                <w:szCs w:val="28"/>
              </w:rPr>
              <w:t xml:space="preserve">Ing. </w:t>
            </w:r>
            <w:r w:rsidR="00425E3B">
              <w:rPr>
                <w:rFonts w:ascii="Calibri Light" w:hAnsi="Calibri Light" w:cs="ArialMT"/>
                <w:sz w:val="28"/>
                <w:szCs w:val="28"/>
              </w:rPr>
              <w:t>Vladimír Hořelka</w:t>
            </w:r>
            <w:r w:rsidR="00E80467" w:rsidRPr="008A0551">
              <w:rPr>
                <w:rFonts w:ascii="Calibri Light" w:hAnsi="Calibri Light" w:cs="ArialMT"/>
                <w:sz w:val="28"/>
                <w:szCs w:val="28"/>
              </w:rPr>
              <w:t xml:space="preserve"> </w:t>
            </w:r>
          </w:p>
          <w:p w14:paraId="078B72A1" w14:textId="77777777" w:rsidR="00E80467" w:rsidRDefault="00E80467" w:rsidP="00624E03">
            <w:pPr>
              <w:tabs>
                <w:tab w:val="left" w:pos="3566"/>
              </w:tabs>
              <w:spacing w:after="120"/>
              <w:rPr>
                <w:rFonts w:ascii="Calibri Light" w:hAnsi="Calibri Light"/>
                <w:sz w:val="28"/>
                <w:szCs w:val="28"/>
              </w:rPr>
            </w:pPr>
          </w:p>
          <w:p w14:paraId="72541CF0" w14:textId="3F8C61A9" w:rsidR="004633C8" w:rsidRPr="008A0551" w:rsidRDefault="004633C8" w:rsidP="00624E03">
            <w:pPr>
              <w:tabs>
                <w:tab w:val="left" w:pos="3566"/>
              </w:tabs>
              <w:spacing w:after="120"/>
              <w:rPr>
                <w:rFonts w:ascii="Calibri Light" w:hAnsi="Calibri Light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</w:tcPr>
          <w:p w14:paraId="1FE719BA" w14:textId="77777777" w:rsidR="00E80467" w:rsidRPr="00492A98" w:rsidRDefault="00E80467" w:rsidP="00624E03">
            <w:pPr>
              <w:spacing w:before="240"/>
              <w:jc w:val="center"/>
              <w:rPr>
                <w:rFonts w:ascii="Calibri Light" w:hAnsi="Calibri Light"/>
                <w:b/>
                <w:sz w:val="40"/>
                <w:szCs w:val="40"/>
              </w:rPr>
            </w:pPr>
          </w:p>
        </w:tc>
      </w:tr>
      <w:tr w:rsidR="00425E3B" w14:paraId="0493F42D" w14:textId="77777777" w:rsidTr="005A7175">
        <w:tc>
          <w:tcPr>
            <w:tcW w:w="3954" w:type="dxa"/>
          </w:tcPr>
          <w:p w14:paraId="51968E3C" w14:textId="77777777" w:rsidR="00E80467" w:rsidRPr="00933D8F" w:rsidRDefault="00E80467" w:rsidP="00624E03">
            <w:pPr>
              <w:spacing w:before="120" w:after="120"/>
              <w:rPr>
                <w:rFonts w:ascii="Segoe UI" w:eastAsia="Microsoft JhengHei" w:hAnsi="Segoe UI" w:cs="Segoe UI"/>
                <w:b/>
                <w:sz w:val="28"/>
                <w:szCs w:val="28"/>
              </w:rPr>
            </w:pPr>
            <w:r w:rsidRPr="00933D8F">
              <w:rPr>
                <w:rFonts w:ascii="Segoe UI" w:eastAsia="Microsoft JhengHei" w:hAnsi="Segoe UI" w:cs="Segoe UI"/>
                <w:b/>
                <w:sz w:val="28"/>
                <w:szCs w:val="28"/>
              </w:rPr>
              <w:t>Datum:</w:t>
            </w:r>
          </w:p>
        </w:tc>
        <w:tc>
          <w:tcPr>
            <w:tcW w:w="4053" w:type="dxa"/>
          </w:tcPr>
          <w:p w14:paraId="57144448" w14:textId="47C78A51" w:rsidR="00E80467" w:rsidRDefault="00425E3B" w:rsidP="00624E03">
            <w:pPr>
              <w:spacing w:before="120" w:after="120"/>
              <w:rPr>
                <w:rFonts w:ascii="Calibri Light" w:hAnsi="Calibri Light" w:cs="ArialMT"/>
                <w:b/>
                <w:sz w:val="28"/>
                <w:szCs w:val="28"/>
              </w:rPr>
            </w:pPr>
            <w:r>
              <w:rPr>
                <w:rFonts w:ascii="Calibri Light" w:hAnsi="Calibri Light" w:cs="ArialMT"/>
                <w:b/>
                <w:sz w:val="28"/>
                <w:szCs w:val="28"/>
              </w:rPr>
              <w:t xml:space="preserve"> </w:t>
            </w:r>
            <w:r w:rsidR="00504DDE">
              <w:rPr>
                <w:rFonts w:ascii="Calibri Light" w:hAnsi="Calibri Light" w:cs="ArialMT"/>
                <w:b/>
                <w:sz w:val="28"/>
                <w:szCs w:val="28"/>
              </w:rPr>
              <w:t>Listopad 2022</w:t>
            </w:r>
          </w:p>
          <w:p w14:paraId="17DB7655" w14:textId="3B4B6952" w:rsidR="004633C8" w:rsidRPr="0005549A" w:rsidRDefault="004633C8" w:rsidP="00624E03">
            <w:pPr>
              <w:spacing w:before="120" w:after="120"/>
              <w:rPr>
                <w:rFonts w:ascii="Calibri Light" w:hAnsi="Calibri Light" w:cs="ArialMT"/>
                <w:b/>
                <w:sz w:val="28"/>
                <w:szCs w:val="28"/>
              </w:rPr>
            </w:pPr>
          </w:p>
        </w:tc>
        <w:tc>
          <w:tcPr>
            <w:tcW w:w="1816" w:type="dxa"/>
            <w:vMerge/>
          </w:tcPr>
          <w:p w14:paraId="595748E2" w14:textId="77777777" w:rsidR="00E80467" w:rsidRPr="008A0551" w:rsidRDefault="00E80467" w:rsidP="00624E03">
            <w:pPr>
              <w:rPr>
                <w:rFonts w:ascii="Calibri Light" w:hAnsi="Calibri Light"/>
                <w:sz w:val="28"/>
                <w:szCs w:val="28"/>
              </w:rPr>
            </w:pPr>
          </w:p>
        </w:tc>
      </w:tr>
      <w:bookmarkEnd w:id="0"/>
    </w:tbl>
    <w:p w14:paraId="72B737F4" w14:textId="4A46E86B" w:rsidR="00D11C47" w:rsidRDefault="00D11C47" w:rsidP="00B417C3"/>
    <w:p w14:paraId="1D4F3D85" w14:textId="77777777" w:rsidR="00701034" w:rsidRDefault="00701034" w:rsidP="00B417C3"/>
    <w:sdt>
      <w:sdtPr>
        <w:id w:val="-40976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16D151" w14:textId="01F1D94F" w:rsidR="002554F1" w:rsidRPr="000530CD" w:rsidRDefault="002554F1" w:rsidP="002554F1">
          <w:pPr>
            <w:spacing w:line="240" w:lineRule="auto"/>
            <w:jc w:val="left"/>
            <w:rPr>
              <w:b/>
              <w:color w:val="943634" w:themeColor="accent2" w:themeShade="BF"/>
              <w:sz w:val="28"/>
              <w:szCs w:val="28"/>
            </w:rPr>
          </w:pPr>
          <w:r w:rsidRPr="000530CD">
            <w:rPr>
              <w:b/>
              <w:color w:val="943634" w:themeColor="accent2" w:themeShade="BF"/>
              <w:sz w:val="28"/>
              <w:szCs w:val="28"/>
            </w:rPr>
            <w:t>Obsah</w:t>
          </w:r>
        </w:p>
        <w:p w14:paraId="040EDD71" w14:textId="5265ED6E" w:rsidR="00F2108C" w:rsidRDefault="002554F1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76139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1.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Základní údaje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_Toc49776139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951F771" w14:textId="6F58CFEB" w:rsidR="00F2108C" w:rsidRDefault="00504DDE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0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2.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Příprava staveniště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_Toc49776140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688E7726" w14:textId="5746C371" w:rsidR="00F2108C" w:rsidRDefault="00504DDE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41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3.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Navržené řešení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_Toc49776141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3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3C7DE97C" w14:textId="7DD239FC" w:rsidR="00F2108C" w:rsidRPr="00F2108C" w:rsidRDefault="00504DDE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2" w:history="1">
            <w:r w:rsidR="00F2108C" w:rsidRPr="00F2108C">
              <w:rPr>
                <w:rStyle w:val="Hypertextovodkaz"/>
                <w:i/>
                <w:iCs/>
              </w:rPr>
              <w:t>a)</w:t>
            </w:r>
            <w:r w:rsidR="00F2108C"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="00F2108C" w:rsidRPr="00F2108C">
              <w:rPr>
                <w:rStyle w:val="Hypertextovodkaz"/>
                <w:i/>
                <w:iCs/>
              </w:rPr>
              <w:t>stavební řešení – popis stávajícího stavu</w:t>
            </w:r>
            <w:r w:rsidR="00F2108C" w:rsidRPr="00F2108C">
              <w:rPr>
                <w:i/>
                <w:iCs/>
                <w:webHidden/>
              </w:rPr>
              <w:tab/>
            </w:r>
            <w:r w:rsidR="00F2108C" w:rsidRPr="00F2108C">
              <w:rPr>
                <w:webHidden/>
              </w:rPr>
              <w:fldChar w:fldCharType="begin"/>
            </w:r>
            <w:r w:rsidR="00F2108C" w:rsidRPr="00F2108C">
              <w:rPr>
                <w:webHidden/>
              </w:rPr>
              <w:instrText xml:space="preserve"> PAGEREF _Toc49776142 \h </w:instrText>
            </w:r>
            <w:r w:rsidR="00F2108C" w:rsidRPr="00F2108C">
              <w:rPr>
                <w:webHidden/>
              </w:rPr>
            </w:r>
            <w:r w:rsidR="00F2108C" w:rsidRPr="00F2108C">
              <w:rPr>
                <w:webHidden/>
              </w:rPr>
              <w:fldChar w:fldCharType="separate"/>
            </w:r>
            <w:r w:rsidR="008C52F4">
              <w:rPr>
                <w:webHidden/>
              </w:rPr>
              <w:t>3</w:t>
            </w:r>
            <w:r w:rsidR="00F2108C" w:rsidRPr="00F2108C">
              <w:rPr>
                <w:webHidden/>
              </w:rPr>
              <w:fldChar w:fldCharType="end"/>
            </w:r>
          </w:hyperlink>
        </w:p>
        <w:p w14:paraId="6C3EAC95" w14:textId="78F001C8" w:rsidR="00F2108C" w:rsidRPr="00F2108C" w:rsidRDefault="00504DDE">
          <w:pPr>
            <w:pStyle w:val="Obsah3"/>
            <w:rPr>
              <w:rFonts w:asciiTheme="minorHAnsi" w:hAnsiTheme="minorHAnsi" w:cstheme="minorBidi"/>
              <w:b w:val="0"/>
              <w:i/>
              <w:iCs/>
              <w:sz w:val="22"/>
              <w:szCs w:val="22"/>
            </w:rPr>
          </w:pPr>
          <w:hyperlink w:anchor="_Toc49776144" w:history="1">
            <w:r w:rsidR="00F2108C" w:rsidRPr="00F2108C">
              <w:rPr>
                <w:rStyle w:val="Hypertextovodkaz"/>
                <w:i/>
                <w:iCs/>
              </w:rPr>
              <w:t>b)</w:t>
            </w:r>
            <w:r w:rsidR="00F2108C" w:rsidRPr="00F2108C">
              <w:rPr>
                <w:rFonts w:asciiTheme="minorHAnsi" w:hAnsiTheme="minorHAnsi" w:cstheme="minorBidi"/>
                <w:b w:val="0"/>
                <w:i/>
                <w:iCs/>
                <w:sz w:val="22"/>
                <w:szCs w:val="22"/>
              </w:rPr>
              <w:tab/>
            </w:r>
            <w:r w:rsidR="00F2108C" w:rsidRPr="00F2108C">
              <w:rPr>
                <w:rStyle w:val="Hypertextovodkaz"/>
                <w:i/>
                <w:iCs/>
              </w:rPr>
              <w:t>stavební řešení – nový stav</w:t>
            </w:r>
            <w:r w:rsidR="00F2108C" w:rsidRPr="00F2108C">
              <w:rPr>
                <w:i/>
                <w:iCs/>
                <w:webHidden/>
              </w:rPr>
              <w:tab/>
            </w:r>
            <w:r w:rsidR="00F2108C" w:rsidRPr="00F2108C">
              <w:rPr>
                <w:webHidden/>
              </w:rPr>
              <w:fldChar w:fldCharType="begin"/>
            </w:r>
            <w:r w:rsidR="00F2108C" w:rsidRPr="00F2108C">
              <w:rPr>
                <w:webHidden/>
              </w:rPr>
              <w:instrText xml:space="preserve"> PAGEREF _Toc49776144 \h </w:instrText>
            </w:r>
            <w:r w:rsidR="00F2108C" w:rsidRPr="00F2108C">
              <w:rPr>
                <w:webHidden/>
              </w:rPr>
            </w:r>
            <w:r w:rsidR="00F2108C" w:rsidRPr="00F2108C">
              <w:rPr>
                <w:webHidden/>
              </w:rPr>
              <w:fldChar w:fldCharType="separate"/>
            </w:r>
            <w:r w:rsidR="008C52F4">
              <w:rPr>
                <w:webHidden/>
              </w:rPr>
              <w:t>4</w:t>
            </w:r>
            <w:r w:rsidR="00F2108C" w:rsidRPr="00F2108C">
              <w:rPr>
                <w:webHidden/>
              </w:rPr>
              <w:fldChar w:fldCharType="end"/>
            </w:r>
          </w:hyperlink>
        </w:p>
        <w:p w14:paraId="3B6FB31C" w14:textId="1AF62D92" w:rsidR="00F2108C" w:rsidRDefault="00504DDE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1" w:history="1">
            <w:r w:rsidR="00F2108C" w:rsidRPr="00341FA9">
              <w:rPr>
                <w:rStyle w:val="Hypertextovodkaz"/>
                <w:noProof/>
              </w:rPr>
              <w:t>3.1.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Bourací práce a demontáže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4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7371110" w14:textId="692EC81B" w:rsidR="00F2108C" w:rsidRDefault="00504DDE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2" w:history="1">
            <w:r w:rsidR="00F2108C" w:rsidRPr="00341FA9">
              <w:rPr>
                <w:rStyle w:val="Hypertextovodkaz"/>
                <w:noProof/>
              </w:rPr>
              <w:t>3.2.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Svislé konstrukce – zateplení fasády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_Toc49776152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5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11FBB6F6" w14:textId="76E3D102" w:rsidR="00F2108C" w:rsidRDefault="00504DDE" w:rsidP="00911267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4" w:history="1">
            <w:r w:rsidR="00F2108C" w:rsidRPr="00341FA9">
              <w:rPr>
                <w:rStyle w:val="Hypertextovodkaz"/>
                <w:noProof/>
              </w:rPr>
              <w:t>3.</w:t>
            </w:r>
            <w:r w:rsidR="00544959">
              <w:rPr>
                <w:rStyle w:val="Hypertextovodkaz"/>
                <w:noProof/>
              </w:rPr>
              <w:t>3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Vodorovné konstrukce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_Toc49776154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7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00A6A34F" w14:textId="1115338E" w:rsidR="00F2108C" w:rsidRDefault="00504DDE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8" w:history="1">
            <w:r w:rsidR="00F2108C" w:rsidRPr="00341FA9">
              <w:rPr>
                <w:rStyle w:val="Hypertextovodkaz"/>
                <w:noProof/>
              </w:rPr>
              <w:t>3.</w:t>
            </w:r>
            <w:r w:rsidR="00911267">
              <w:rPr>
                <w:rStyle w:val="Hypertextovodkaz"/>
                <w:noProof/>
              </w:rPr>
              <w:t>4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Malby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_Toc49776158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8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13D3BA0F" w14:textId="21CE8718" w:rsidR="00F2108C" w:rsidRDefault="00504DDE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59" w:history="1">
            <w:r w:rsidR="00F2108C" w:rsidRPr="00341FA9">
              <w:rPr>
                <w:rStyle w:val="Hypertextovodkaz"/>
                <w:noProof/>
              </w:rPr>
              <w:t>3.</w:t>
            </w:r>
            <w:r w:rsidR="00911267">
              <w:rPr>
                <w:rStyle w:val="Hypertextovodkaz"/>
                <w:noProof/>
              </w:rPr>
              <w:t>5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Klempířské prvky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_Toc49776159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8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3C95994F" w14:textId="3C9CD25E" w:rsidR="00F2108C" w:rsidRDefault="00504DDE">
          <w:pPr>
            <w:pStyle w:val="Obsah2"/>
            <w:tabs>
              <w:tab w:val="left" w:pos="960"/>
              <w:tab w:val="right" w:leader="dot" w:pos="9856"/>
            </w:tabs>
            <w:rPr>
              <w:rFonts w:cstheme="minorBidi"/>
              <w:smallCaps w:val="0"/>
              <w:noProof/>
              <w:sz w:val="22"/>
              <w:szCs w:val="22"/>
            </w:rPr>
          </w:pPr>
          <w:hyperlink w:anchor="_Toc49776160" w:history="1">
            <w:r w:rsidR="00F2108C" w:rsidRPr="00341FA9">
              <w:rPr>
                <w:rStyle w:val="Hypertextovodkaz"/>
                <w:noProof/>
              </w:rPr>
              <w:t>3.</w:t>
            </w:r>
            <w:r w:rsidR="00911267">
              <w:rPr>
                <w:rStyle w:val="Hypertextovodkaz"/>
                <w:noProof/>
              </w:rPr>
              <w:t>6</w:t>
            </w:r>
            <w:r w:rsidR="00F2108C" w:rsidRPr="00341FA9">
              <w:rPr>
                <w:rStyle w:val="Hypertextovodkaz"/>
                <w:noProof/>
              </w:rPr>
              <w:t>.</w:t>
            </w:r>
            <w:r w:rsidR="00F2108C">
              <w:rPr>
                <w:rFonts w:cstheme="minorBidi"/>
                <w:small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noProof/>
              </w:rPr>
              <w:t>Dokončovací práce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_Toc49776160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8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52273218" w14:textId="180A3AA4" w:rsidR="00F2108C" w:rsidRDefault="00504DDE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1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4.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Vliv objektu a jeho užívání na životní prostředí a řešení případných negativních účinků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_Toc49776161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9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4B9A254" w14:textId="06C77D59" w:rsidR="00F2108C" w:rsidRDefault="00504DDE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3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 xml:space="preserve">5. 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Použité normy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_Toc49776163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9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209541AA" w14:textId="5E8B3FB4" w:rsidR="00F2108C" w:rsidRDefault="00504DDE">
          <w:pPr>
            <w:pStyle w:val="Obsah1"/>
            <w:tabs>
              <w:tab w:val="left" w:pos="480"/>
              <w:tab w:val="right" w:leader="dot" w:pos="9856"/>
            </w:tabs>
            <w:rPr>
              <w:rFonts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9776164" w:history="1"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6.</w:t>
            </w:r>
            <w:r w:rsidR="00F2108C">
              <w:rPr>
                <w:rFonts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F2108C" w:rsidRPr="00341FA9">
              <w:rPr>
                <w:rStyle w:val="Hypertextovodkaz"/>
                <w:rFonts w:ascii="Calibri Light" w:hAnsi="Calibri Light"/>
                <w:noProof/>
              </w:rPr>
              <w:t>Poznámky</w:t>
            </w:r>
            <w:r w:rsidR="00F2108C">
              <w:rPr>
                <w:noProof/>
                <w:webHidden/>
              </w:rPr>
              <w:tab/>
            </w:r>
            <w:r w:rsidR="00F2108C">
              <w:rPr>
                <w:noProof/>
                <w:webHidden/>
              </w:rPr>
              <w:fldChar w:fldCharType="begin"/>
            </w:r>
            <w:r w:rsidR="00F2108C">
              <w:rPr>
                <w:noProof/>
                <w:webHidden/>
              </w:rPr>
              <w:instrText xml:space="preserve"> PAGEREF _Toc49776164 \h </w:instrText>
            </w:r>
            <w:r w:rsidR="00F2108C">
              <w:rPr>
                <w:noProof/>
                <w:webHidden/>
              </w:rPr>
            </w:r>
            <w:r w:rsidR="00F2108C">
              <w:rPr>
                <w:noProof/>
                <w:webHidden/>
              </w:rPr>
              <w:fldChar w:fldCharType="separate"/>
            </w:r>
            <w:r w:rsidR="008C52F4">
              <w:rPr>
                <w:noProof/>
                <w:webHidden/>
              </w:rPr>
              <w:t>11</w:t>
            </w:r>
            <w:r w:rsidR="00F2108C">
              <w:rPr>
                <w:noProof/>
                <w:webHidden/>
              </w:rPr>
              <w:fldChar w:fldCharType="end"/>
            </w:r>
          </w:hyperlink>
        </w:p>
        <w:p w14:paraId="40C157A4" w14:textId="15300F0C" w:rsidR="002554F1" w:rsidRDefault="002554F1" w:rsidP="004110A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BBD8596" w14:textId="74356DC7" w:rsidR="00DD012E" w:rsidRPr="002554F1" w:rsidRDefault="0061760D" w:rsidP="004110A1">
      <w:pPr>
        <w:rPr>
          <w:b/>
          <w:bCs/>
        </w:rPr>
      </w:pPr>
      <w:r w:rsidRPr="00471EFA">
        <w:br w:type="page"/>
      </w:r>
      <w:bookmarkStart w:id="1" w:name="_Toc454289341"/>
    </w:p>
    <w:p w14:paraId="77442AFB" w14:textId="77777777" w:rsidR="00F4411A" w:rsidRPr="00F4411A" w:rsidRDefault="00F4411A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2" w:name="_Toc523910950"/>
      <w:bookmarkStart w:id="3" w:name="_Toc12373988"/>
      <w:bookmarkStart w:id="4" w:name="_Toc41862826"/>
      <w:bookmarkStart w:id="5" w:name="_Toc49776139"/>
      <w:bookmarkStart w:id="6" w:name="_Toc457461883"/>
      <w:r w:rsidRPr="00F4411A">
        <w:rPr>
          <w:rFonts w:ascii="Calibri Light" w:hAnsi="Calibri Light"/>
          <w:b/>
          <w:sz w:val="28"/>
          <w:szCs w:val="32"/>
        </w:rPr>
        <w:t>Základní údaje</w:t>
      </w:r>
      <w:bookmarkEnd w:id="2"/>
      <w:bookmarkEnd w:id="3"/>
      <w:bookmarkEnd w:id="4"/>
      <w:bookmarkEnd w:id="5"/>
    </w:p>
    <w:p w14:paraId="39A8365B" w14:textId="0F2240F1" w:rsidR="00F4411A" w:rsidRDefault="00F4411A" w:rsidP="00F4411A">
      <w:pPr>
        <w:rPr>
          <w:sz w:val="23"/>
          <w:szCs w:val="23"/>
        </w:rPr>
      </w:pPr>
      <w:r w:rsidRPr="00B57018">
        <w:t xml:space="preserve">Projektová dokumentace je navržena v souladu s platnými předpisy a jsou v ní zahrnuty všechny požadavky dotčených orgánů. </w:t>
      </w:r>
      <w:r>
        <w:t xml:space="preserve"> </w:t>
      </w:r>
      <w:r w:rsidRPr="00B57018">
        <w:t>Pří obnažování konstrukcí může být skutečný rozsah prací odlišný od rozsahu stanoveného v projektové dokumentaci. Proto je nezbytné veškeré více i méně práce evidovat ve stavebním deníku a rozsah oboustranně odsouhlasit zástupcem technického dozoru investora a zástupcem dodavatele. V případě zásadních rozdílů mezi projektovou dokumentací a skutečností je nutné postup prací konzultovat s projektantem v rámci autorského dozoru.</w:t>
      </w:r>
      <w:r w:rsidR="00415584" w:rsidRPr="00415584">
        <w:rPr>
          <w:sz w:val="23"/>
          <w:szCs w:val="23"/>
        </w:rPr>
        <w:t xml:space="preserve"> </w:t>
      </w:r>
      <w:r w:rsidR="00415584">
        <w:rPr>
          <w:sz w:val="23"/>
          <w:szCs w:val="23"/>
        </w:rPr>
        <w:t>V případě nejasností při provádění konkrétní konstrukce, zabudování materiálu, provedení konstrukčního detailu, technologického postupu apod. bude postupováno vždy v souladu s technickými podklady a montážními návody výrobce daného materiálu či konstrukce, pokud nebude v dokumentaci stanoveno jinak. Dále bude vždy postupováno dle platných norem ČSN, EN, ISO.</w:t>
      </w:r>
    </w:p>
    <w:p w14:paraId="302220EA" w14:textId="70AEC730" w:rsidR="00415584" w:rsidRPr="00B57018" w:rsidRDefault="00415584" w:rsidP="00F4411A">
      <w:r>
        <w:rPr>
          <w:sz w:val="23"/>
          <w:szCs w:val="23"/>
        </w:rPr>
        <w:t>Projektová dokumentace je navržena dle požadavků investora a stavebníka na rozsah stavebních úprav, materiálové a barevné řešení a ten je s projektovou dokumentací seznámen a souhlasí s ní.</w:t>
      </w:r>
    </w:p>
    <w:p w14:paraId="053A1CED" w14:textId="355F3237" w:rsidR="00F4411A" w:rsidRPr="0020141C" w:rsidRDefault="00F4411A" w:rsidP="00F4411A">
      <w:pPr>
        <w:rPr>
          <w:b/>
          <w:sz w:val="28"/>
          <w:szCs w:val="28"/>
        </w:rPr>
      </w:pPr>
      <w:r w:rsidRPr="0020141C">
        <w:rPr>
          <w:b/>
          <w:sz w:val="28"/>
          <w:szCs w:val="28"/>
        </w:rPr>
        <w:t>Veškeré názvy materiálů a výrobců jsou pouze informativní pro určení standardu technických požadavků. Proto je možné tyto materiály po dohodě s investorem zaměnit za jiné se shodnými</w:t>
      </w:r>
      <w:r w:rsidR="00777417">
        <w:rPr>
          <w:b/>
          <w:sz w:val="28"/>
          <w:szCs w:val="28"/>
        </w:rPr>
        <w:t xml:space="preserve"> nebo lepšími</w:t>
      </w:r>
      <w:r w:rsidRPr="0020141C">
        <w:rPr>
          <w:b/>
          <w:sz w:val="28"/>
          <w:szCs w:val="28"/>
        </w:rPr>
        <w:t xml:space="preserve"> technickými parametry.</w:t>
      </w:r>
    </w:p>
    <w:p w14:paraId="060DDE0A" w14:textId="27249069" w:rsidR="002B45E1" w:rsidRDefault="002B45E1" w:rsidP="00E75E72"/>
    <w:p w14:paraId="050C582C" w14:textId="77777777" w:rsidR="002B45E1" w:rsidRPr="002B45E1" w:rsidRDefault="002B45E1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7" w:name="_Toc523910953"/>
      <w:bookmarkStart w:id="8" w:name="_Toc12373989"/>
      <w:bookmarkStart w:id="9" w:name="_Toc41862827"/>
      <w:bookmarkStart w:id="10" w:name="_Toc49776140"/>
      <w:r w:rsidRPr="002B45E1">
        <w:rPr>
          <w:rFonts w:ascii="Calibri Light" w:hAnsi="Calibri Light"/>
          <w:b/>
          <w:sz w:val="28"/>
          <w:szCs w:val="32"/>
        </w:rPr>
        <w:t>Příprava staveniště</w:t>
      </w:r>
      <w:bookmarkEnd w:id="7"/>
      <w:bookmarkEnd w:id="8"/>
      <w:bookmarkEnd w:id="9"/>
      <w:bookmarkEnd w:id="10"/>
    </w:p>
    <w:p w14:paraId="459F35D3" w14:textId="5CBD0557" w:rsidR="002B45E1" w:rsidRPr="002B45E1" w:rsidRDefault="002B45E1" w:rsidP="002B45E1">
      <w:pPr>
        <w:rPr>
          <w:bCs/>
        </w:rPr>
      </w:pPr>
      <w:r w:rsidRPr="002B45E1">
        <w:t xml:space="preserve">Zařízení staveniště dodavatelské firmy bude umístěno v okolí </w:t>
      </w:r>
      <w:r w:rsidR="00C537D3">
        <w:t>bytového domu</w:t>
      </w:r>
      <w:r w:rsidRPr="002B45E1">
        <w:t xml:space="preserve">. </w:t>
      </w:r>
      <w:r w:rsidRPr="002B45E1">
        <w:rPr>
          <w:bCs/>
        </w:rPr>
        <w:t>Před zahájením stavebních prací bude provedeno vytýčení všech sítí technické infrastruktury a budou respektovány požadavky a podmínky jednotlivých správců a vlastníku technické infrastruktury, které jsou uvedeny v jednotlivých stanoviscích. Všeobecně:</w:t>
      </w:r>
    </w:p>
    <w:p w14:paraId="07E0AF15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Pracovníci provádějící stavební činnosti budou prokazatelně seznámeni s polohou sítí technické infrastruktury, rozsahem ochranného pásma a podmínkami jednotlivých správců technické infrastruktury.</w:t>
      </w:r>
    </w:p>
    <w:p w14:paraId="51A95A6C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V případě vzniku nutnosti výkopových prací v ochranných pásmech inženýrských sítí, které jsou v provozu, musí být tyto výkopy prováděny ručně v souladu s požadavky jednotlivých vlastníku a správců technické infrastruktury</w:t>
      </w:r>
    </w:p>
    <w:p w14:paraId="68FEB800" w14:textId="77777777" w:rsidR="002B45E1" w:rsidRPr="002B45E1" w:rsidRDefault="002B45E1" w:rsidP="00D67418">
      <w:pPr>
        <w:numPr>
          <w:ilvl w:val="0"/>
          <w:numId w:val="10"/>
        </w:numPr>
        <w:spacing w:before="60" w:line="280" w:lineRule="exact"/>
        <w:rPr>
          <w:rFonts w:eastAsiaTheme="minorHAnsi" w:cstheme="minorBidi"/>
          <w:bCs/>
          <w:szCs w:val="22"/>
          <w:lang w:eastAsia="en-US"/>
        </w:rPr>
      </w:pPr>
      <w:r w:rsidRPr="002B45E1">
        <w:rPr>
          <w:rFonts w:eastAsiaTheme="minorHAnsi" w:cstheme="minorBidi"/>
          <w:bCs/>
          <w:szCs w:val="22"/>
          <w:lang w:eastAsia="en-US"/>
        </w:rPr>
        <w:t>Stavebník, nebo jím pověřená třetí osoba, je povinen manipulační a skladové plochy zřizovat v takové vzdálenosti od inženýrských sítí, aby činnosti na/v manipulačních a skladových plochách nemohly být tyto sítě poškozeny</w:t>
      </w:r>
    </w:p>
    <w:p w14:paraId="0EE5BEE1" w14:textId="77777777" w:rsidR="002B45E1" w:rsidRPr="002B45E1" w:rsidRDefault="002B45E1" w:rsidP="002B45E1">
      <w:pPr>
        <w:spacing w:before="120"/>
      </w:pPr>
      <w:r w:rsidRPr="002B45E1">
        <w:t>Staveniště bude oploceno a zabezpečeno proti vstupu neoprávněných osob. Rozsah zařízení staveniště (staveništní buňky, volné plochy pro uskladnění materiálu, mobilní WC… apod.) bude upřesněn dodavateli před zahájením prací.</w:t>
      </w:r>
    </w:p>
    <w:p w14:paraId="07ED84E3" w14:textId="0F994653" w:rsidR="002B45E1" w:rsidRDefault="002B45E1" w:rsidP="002B45E1">
      <w:r>
        <w:t>Provádění stavebních prací je uvažováno z fasádního lešení. Lešení musí být provedeno v souladu s požadavky ČSN pro trubková nebo systémová lešení. Montáž lešení bude provedena odbornými pracovníky firmou a lešení předáno do užívání. O předání a převzetí lešení bude proveden protokolární zápis do stavebního deníku. Konstrukce musí být pravidelně odborně kontrolována a prohlížena 1x týdně. Prohlídky se také konají vždy po prudkém nárazovém větru. Výsledek prohlídky bude zapsán do stavebního deníku.</w:t>
      </w:r>
    </w:p>
    <w:p w14:paraId="26DF79E6" w14:textId="77777777" w:rsidR="005137E3" w:rsidRDefault="005137E3" w:rsidP="002B45E1"/>
    <w:p w14:paraId="7327EEE2" w14:textId="77777777" w:rsidR="0049155E" w:rsidRPr="0049155E" w:rsidRDefault="0049155E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11" w:name="_Toc523910954"/>
      <w:bookmarkStart w:id="12" w:name="_Toc12373990"/>
      <w:bookmarkStart w:id="13" w:name="_Toc41862828"/>
      <w:bookmarkStart w:id="14" w:name="_Toc49776141"/>
      <w:r w:rsidRPr="0049155E">
        <w:rPr>
          <w:rFonts w:ascii="Calibri Light" w:hAnsi="Calibri Light"/>
          <w:b/>
          <w:sz w:val="28"/>
          <w:szCs w:val="32"/>
        </w:rPr>
        <w:t>Navržené řešení</w:t>
      </w:r>
      <w:bookmarkEnd w:id="11"/>
      <w:bookmarkEnd w:id="12"/>
      <w:bookmarkEnd w:id="13"/>
      <w:bookmarkEnd w:id="14"/>
    </w:p>
    <w:p w14:paraId="6C778A47" w14:textId="77777777" w:rsidR="007353C0" w:rsidRDefault="0049155E" w:rsidP="00D67418">
      <w:pPr>
        <w:pStyle w:val="Odstavecseseznamem"/>
        <w:numPr>
          <w:ilvl w:val="0"/>
          <w:numId w:val="12"/>
        </w:numPr>
        <w:spacing w:before="120" w:after="0"/>
        <w:ind w:left="714" w:hanging="357"/>
        <w:outlineLvl w:val="2"/>
        <w:rPr>
          <w:rFonts w:ascii="Calibri Light" w:hAnsi="Calibri Light"/>
          <w:b/>
          <w:szCs w:val="28"/>
        </w:rPr>
      </w:pPr>
      <w:bookmarkStart w:id="15" w:name="_Toc1633461"/>
      <w:bookmarkStart w:id="16" w:name="_Toc6910039"/>
      <w:bookmarkStart w:id="17" w:name="_Toc12373991"/>
      <w:bookmarkStart w:id="18" w:name="_Toc41862829"/>
      <w:bookmarkStart w:id="19" w:name="_Toc49776142"/>
      <w:bookmarkStart w:id="20" w:name="_Hlk1467229"/>
      <w:r w:rsidRPr="0049155E">
        <w:rPr>
          <w:rFonts w:ascii="Calibri Light" w:hAnsi="Calibri Light"/>
          <w:b/>
          <w:szCs w:val="28"/>
        </w:rPr>
        <w:t>stavební řešení</w:t>
      </w:r>
      <w:bookmarkEnd w:id="15"/>
      <w:r w:rsidRPr="0049155E">
        <w:rPr>
          <w:rFonts w:ascii="Calibri Light" w:hAnsi="Calibri Light"/>
          <w:b/>
          <w:szCs w:val="28"/>
        </w:rPr>
        <w:t xml:space="preserve"> – popis stávajícího stavu</w:t>
      </w:r>
      <w:bookmarkStart w:id="21" w:name="_Hlk15024317"/>
      <w:bookmarkEnd w:id="16"/>
      <w:bookmarkEnd w:id="17"/>
      <w:bookmarkEnd w:id="18"/>
      <w:bookmarkEnd w:id="19"/>
    </w:p>
    <w:p w14:paraId="26680717" w14:textId="31A0A8AC" w:rsidR="0049155E" w:rsidRPr="0049155E" w:rsidRDefault="00132E2F" w:rsidP="00FE3979">
      <w:pPr>
        <w:spacing w:before="120"/>
        <w:outlineLvl w:val="2"/>
        <w:rPr>
          <w:rFonts w:ascii="Calibri Light" w:hAnsi="Calibri Light"/>
          <w:b/>
          <w:szCs w:val="28"/>
        </w:rPr>
      </w:pPr>
      <w:bookmarkStart w:id="22" w:name="_Toc49776063"/>
      <w:bookmarkStart w:id="23" w:name="_Toc49776143"/>
      <w:r>
        <w:t xml:space="preserve">Bytový dům č.p. </w:t>
      </w:r>
      <w:r w:rsidR="001D5AA9">
        <w:t>22</w:t>
      </w:r>
      <w:r w:rsidR="0049155E" w:rsidRPr="0049155E">
        <w:t xml:space="preserve"> byl postaven v</w:t>
      </w:r>
      <w:r w:rsidR="00E42AFC">
        <w:t> </w:t>
      </w:r>
      <w:r w:rsidR="001D5AA9">
        <w:t>8</w:t>
      </w:r>
      <w:r w:rsidR="007325E1">
        <w:t>0</w:t>
      </w:r>
      <w:r w:rsidR="0049155E" w:rsidRPr="00F2108C">
        <w:t>.letech 20.století</w:t>
      </w:r>
      <w:r w:rsidR="001D5AA9">
        <w:t xml:space="preserve"> a sloužil jako mateřská školka</w:t>
      </w:r>
      <w:r w:rsidR="0049155E" w:rsidRPr="0049155E">
        <w:t xml:space="preserve">. </w:t>
      </w:r>
      <w:r w:rsidR="001D5AA9">
        <w:t xml:space="preserve">V roce 2002 byly provedeny vnitřní stavební úpravy z důvodu změny využití objektu MŠ a v roce 2003 byla provedena rekonstrukce objektu na nájemní byty. </w:t>
      </w:r>
      <w:r w:rsidR="0049155E" w:rsidRPr="0049155E">
        <w:t xml:space="preserve">Půdorys objektu je </w:t>
      </w:r>
      <w:r w:rsidR="00D256B8" w:rsidRPr="0049155E">
        <w:t>obd</w:t>
      </w:r>
      <w:r w:rsidR="00D256B8">
        <w:t>é</w:t>
      </w:r>
      <w:r w:rsidR="00D256B8" w:rsidRPr="0049155E">
        <w:t>lníkového</w:t>
      </w:r>
      <w:r w:rsidR="0049155E" w:rsidRPr="0049155E">
        <w:t xml:space="preserve"> tvaru </w:t>
      </w:r>
      <w:r w:rsidR="000D730C">
        <w:t>31,110</w:t>
      </w:r>
      <w:r w:rsidR="00754091">
        <w:t xml:space="preserve">m </w:t>
      </w:r>
      <w:r w:rsidR="0049155E" w:rsidRPr="0049155E">
        <w:t>x</w:t>
      </w:r>
      <w:r w:rsidR="00754091">
        <w:t xml:space="preserve"> </w:t>
      </w:r>
      <w:r w:rsidR="000D730C">
        <w:t>12,79</w:t>
      </w:r>
      <w:r w:rsidR="0049155E" w:rsidRPr="0049155E">
        <w:t>m</w:t>
      </w:r>
      <w:r w:rsidR="00182542">
        <w:t xml:space="preserve"> složený ze dvou na sebe navazujících obdélníků</w:t>
      </w:r>
      <w:r w:rsidR="0049155E" w:rsidRPr="0049155E">
        <w:t xml:space="preserve">. </w:t>
      </w:r>
      <w:r w:rsidR="00C65A38">
        <w:t>Jedná část objektu je jednopodlažní</w:t>
      </w:r>
      <w:r w:rsidR="00AC07A6">
        <w:t>, nepodsklepená se sedlovou střechou</w:t>
      </w:r>
      <w:r w:rsidR="00C65A38">
        <w:t xml:space="preserve">, druhá část </w:t>
      </w:r>
      <w:r w:rsidR="00AC07A6">
        <w:t xml:space="preserve">objektu </w:t>
      </w:r>
      <w:r w:rsidR="00C65A38">
        <w:t>je dvoupodlažní</w:t>
      </w:r>
      <w:r w:rsidR="00AC07A6">
        <w:t>, podsklepená se stanovou střechou</w:t>
      </w:r>
      <w:r w:rsidR="00C65A38">
        <w:t xml:space="preserve">. </w:t>
      </w:r>
      <w:r w:rsidR="00182542">
        <w:t>Dvoupodlažní část objektu má k</w:t>
      </w:r>
      <w:r w:rsidR="0049155E" w:rsidRPr="00FF4966">
        <w:t>onstrukční výšk</w:t>
      </w:r>
      <w:r w:rsidR="00182542">
        <w:t>u</w:t>
      </w:r>
      <w:r w:rsidR="0049155E" w:rsidRPr="00FF4966">
        <w:t xml:space="preserve"> </w:t>
      </w:r>
      <w:r w:rsidR="00754091" w:rsidRPr="00FF4966">
        <w:t>1.PP 2</w:t>
      </w:r>
      <w:r w:rsidR="0049155E" w:rsidRPr="00FF4966">
        <w:t>,</w:t>
      </w:r>
      <w:r w:rsidR="00C65A38">
        <w:t>635</w:t>
      </w:r>
      <w:r w:rsidR="0049155E" w:rsidRPr="00FF4966">
        <w:t>m, světl</w:t>
      </w:r>
      <w:r w:rsidR="00182542">
        <w:t>ou</w:t>
      </w:r>
      <w:r w:rsidR="0049155E" w:rsidRPr="00FF4966">
        <w:t xml:space="preserve"> výšk</w:t>
      </w:r>
      <w:r w:rsidR="00182542">
        <w:t>u</w:t>
      </w:r>
      <w:r w:rsidR="0049155E" w:rsidRPr="00FF4966">
        <w:t xml:space="preserve"> </w:t>
      </w:r>
      <w:r w:rsidR="00E55F07">
        <w:t>2</w:t>
      </w:r>
      <w:r w:rsidR="0049155E" w:rsidRPr="00FF4966">
        <w:t>,</w:t>
      </w:r>
      <w:r w:rsidR="00E55F07">
        <w:t>1</w:t>
      </w:r>
      <w:r w:rsidR="0049155E" w:rsidRPr="00FF4966">
        <w:t>m</w:t>
      </w:r>
      <w:r w:rsidR="00754091" w:rsidRPr="00FF4966">
        <w:t>, konstrukční výšk</w:t>
      </w:r>
      <w:r w:rsidR="00B27B1B">
        <w:t>a</w:t>
      </w:r>
      <w:r w:rsidR="00754091" w:rsidRPr="00FF4966">
        <w:t xml:space="preserve"> 1.NP </w:t>
      </w:r>
      <w:r w:rsidR="00CE640D">
        <w:t xml:space="preserve">a 2.NP </w:t>
      </w:r>
      <w:r w:rsidR="00500558" w:rsidRPr="00FF4966">
        <w:t xml:space="preserve">je </w:t>
      </w:r>
      <w:r w:rsidR="00182542">
        <w:t>2</w:t>
      </w:r>
      <w:r w:rsidR="00500558" w:rsidRPr="00FF4966">
        <w:t>,</w:t>
      </w:r>
      <w:r w:rsidR="00182542">
        <w:t>9</w:t>
      </w:r>
      <w:r w:rsidR="00500558" w:rsidRPr="00FF4966">
        <w:t>m, světl</w:t>
      </w:r>
      <w:r w:rsidR="00B27B1B">
        <w:t>á</w:t>
      </w:r>
      <w:r w:rsidR="00500558" w:rsidRPr="00FF4966">
        <w:t xml:space="preserve"> výšk</w:t>
      </w:r>
      <w:r w:rsidR="00182542">
        <w:t>u</w:t>
      </w:r>
      <w:r w:rsidR="00500558" w:rsidRPr="00FF4966">
        <w:t xml:space="preserve"> 2,</w:t>
      </w:r>
      <w:r w:rsidR="00E55F07">
        <w:t>6</w:t>
      </w:r>
      <w:r w:rsidR="00500558" w:rsidRPr="00FF4966">
        <w:t>m</w:t>
      </w:r>
      <w:r w:rsidR="0049155E" w:rsidRPr="00FF4966">
        <w:t xml:space="preserve">. </w:t>
      </w:r>
      <w:r w:rsidR="00182542">
        <w:t xml:space="preserve">Jednopodlažní část má konstrukční výšku 1.NP 2,9m, světlou výšku 2,6m. </w:t>
      </w:r>
      <w:r w:rsidR="0049155E" w:rsidRPr="00FF4966">
        <w:t xml:space="preserve">Obvodové zdivo je </w:t>
      </w:r>
      <w:r w:rsidR="00FE3979" w:rsidRPr="00FF4966">
        <w:t>cih</w:t>
      </w:r>
      <w:r w:rsidR="00F05F01" w:rsidRPr="00FF4966">
        <w:t>e</w:t>
      </w:r>
      <w:r w:rsidR="00FE3979" w:rsidRPr="00FF4966">
        <w:t>l</w:t>
      </w:r>
      <w:r w:rsidR="00F05F01" w:rsidRPr="00FF4966">
        <w:t>n</w:t>
      </w:r>
      <w:r w:rsidR="007012A5" w:rsidRPr="00FF4966">
        <w:t>é</w:t>
      </w:r>
      <w:r w:rsidR="0049155E" w:rsidRPr="00FF4966">
        <w:t xml:space="preserve"> tl. </w:t>
      </w:r>
      <w:r w:rsidR="00932C33">
        <w:t>450</w:t>
      </w:r>
      <w:r w:rsidR="00A05443">
        <w:t xml:space="preserve"> </w:t>
      </w:r>
      <w:r w:rsidR="00932C33">
        <w:t>mm</w:t>
      </w:r>
      <w:r w:rsidR="0049155E" w:rsidRPr="00FF4966">
        <w:t>. Vnitřní zdivo je tvořen</w:t>
      </w:r>
      <w:r w:rsidR="00570D8C" w:rsidRPr="00FF4966">
        <w:t>o</w:t>
      </w:r>
      <w:r w:rsidR="0049155E" w:rsidRPr="00FF4966">
        <w:t xml:space="preserve"> z cihel </w:t>
      </w:r>
      <w:r w:rsidR="002E4AEC" w:rsidRPr="00FF4966">
        <w:t xml:space="preserve">tl. </w:t>
      </w:r>
      <w:r w:rsidR="00BE21A8">
        <w:t xml:space="preserve">450 mm, tl. 300 mm, tl. 80, tl. </w:t>
      </w:r>
      <w:r w:rsidR="002E4AEC" w:rsidRPr="00FF4966">
        <w:t>1</w:t>
      </w:r>
      <w:r w:rsidR="00BE21A8">
        <w:t>3</w:t>
      </w:r>
      <w:r w:rsidR="002E4AEC" w:rsidRPr="00FF4966">
        <w:t>0 mm</w:t>
      </w:r>
      <w:r w:rsidR="00BE21A8">
        <w:t xml:space="preserve"> a</w:t>
      </w:r>
      <w:r w:rsidR="002E4AEC" w:rsidRPr="00FF4966">
        <w:t xml:space="preserve"> tl. 150 mm</w:t>
      </w:r>
      <w:r w:rsidR="0049155E" w:rsidRPr="00FF4966">
        <w:t xml:space="preserve">. Stropní konstrukce </w:t>
      </w:r>
      <w:r w:rsidR="009C1D37" w:rsidRPr="00FF4966">
        <w:t xml:space="preserve">nad 1.PP </w:t>
      </w:r>
      <w:r w:rsidR="00BE21A8">
        <w:t xml:space="preserve">a 1.NP </w:t>
      </w:r>
      <w:r w:rsidR="0049155E" w:rsidRPr="00FF4966">
        <w:t xml:space="preserve">je </w:t>
      </w:r>
      <w:r w:rsidR="009C1D37" w:rsidRPr="00FF4966">
        <w:t>betonová</w:t>
      </w:r>
      <w:r w:rsidR="0049155E" w:rsidRPr="00FF4966">
        <w:t xml:space="preserve">. </w:t>
      </w:r>
      <w:bookmarkEnd w:id="22"/>
      <w:bookmarkEnd w:id="23"/>
    </w:p>
    <w:p w14:paraId="4F5816B7" w14:textId="2444B2E5" w:rsidR="006A7C59" w:rsidRDefault="0049155E" w:rsidP="0049155E">
      <w:pPr>
        <w:spacing w:after="120"/>
      </w:pPr>
      <w:r w:rsidRPr="0049155E">
        <w:t xml:space="preserve">Otvorové výplně v jednotlivých </w:t>
      </w:r>
      <w:r w:rsidR="001A486E">
        <w:t>bytech</w:t>
      </w:r>
      <w:r w:rsidR="00C175C8">
        <w:t xml:space="preserve"> a</w:t>
      </w:r>
      <w:r w:rsidR="00AC1016">
        <w:t xml:space="preserve"> </w:t>
      </w:r>
      <w:r w:rsidRPr="0049155E">
        <w:t>na schodišti jsou</w:t>
      </w:r>
      <w:r w:rsidR="00C175C8">
        <w:t xml:space="preserve"> plastová</w:t>
      </w:r>
      <w:r w:rsidRPr="0049155E">
        <w:t>. Střech</w:t>
      </w:r>
      <w:r w:rsidR="00DA6CAD">
        <w:t>y</w:t>
      </w:r>
      <w:r w:rsidRPr="0049155E">
        <w:t xml:space="preserve"> j</w:t>
      </w:r>
      <w:r w:rsidR="00DA6CAD">
        <w:t>sou</w:t>
      </w:r>
      <w:r w:rsidRPr="0049155E">
        <w:t xml:space="preserve"> </w:t>
      </w:r>
      <w:r w:rsidR="007166A7">
        <w:t>s plechovou krytinou</w:t>
      </w:r>
      <w:r w:rsidRPr="0049155E">
        <w:t>.</w:t>
      </w:r>
      <w:bookmarkEnd w:id="21"/>
    </w:p>
    <w:p w14:paraId="45211BC9" w14:textId="77777777" w:rsidR="005137E3" w:rsidRPr="0049155E" w:rsidRDefault="005137E3" w:rsidP="0049155E">
      <w:pPr>
        <w:spacing w:after="120"/>
      </w:pPr>
    </w:p>
    <w:p w14:paraId="051B5923" w14:textId="4EE69502" w:rsidR="0049155E" w:rsidRPr="0049155E" w:rsidRDefault="00C77805" w:rsidP="00D67418">
      <w:pPr>
        <w:pStyle w:val="Odstavecseseznamem"/>
        <w:numPr>
          <w:ilvl w:val="0"/>
          <w:numId w:val="12"/>
        </w:numPr>
        <w:spacing w:before="120"/>
        <w:outlineLvl w:val="2"/>
        <w:rPr>
          <w:rFonts w:ascii="Calibri Light" w:hAnsi="Calibri Light"/>
          <w:b/>
          <w:szCs w:val="28"/>
        </w:rPr>
      </w:pPr>
      <w:bookmarkStart w:id="24" w:name="_Toc6910040"/>
      <w:bookmarkStart w:id="25" w:name="_Toc12373992"/>
      <w:bookmarkStart w:id="26" w:name="_Toc41862830"/>
      <w:bookmarkStart w:id="27" w:name="_Toc49776144"/>
      <w:r>
        <w:rPr>
          <w:rFonts w:ascii="Calibri Light" w:hAnsi="Calibri Light"/>
          <w:b/>
          <w:szCs w:val="28"/>
        </w:rPr>
        <w:t>s</w:t>
      </w:r>
      <w:r w:rsidR="0049155E" w:rsidRPr="0049155E">
        <w:rPr>
          <w:rFonts w:ascii="Calibri Light" w:hAnsi="Calibri Light"/>
          <w:b/>
          <w:szCs w:val="28"/>
        </w:rPr>
        <w:t>tavební řešení – nový stav</w:t>
      </w:r>
      <w:bookmarkEnd w:id="24"/>
      <w:bookmarkEnd w:id="25"/>
      <w:bookmarkEnd w:id="26"/>
      <w:bookmarkEnd w:id="27"/>
    </w:p>
    <w:p w14:paraId="552BF3DE" w14:textId="77777777" w:rsidR="00904CE1" w:rsidRPr="00904CE1" w:rsidRDefault="00904CE1" w:rsidP="00F008B7">
      <w:bookmarkStart w:id="28" w:name="_Hlk8909603"/>
      <w:r w:rsidRPr="00904CE1">
        <w:t xml:space="preserve">Při návrhu zateplení fasády byl respektován původní vzhled budovy. Stávající funkční řešení bytového domu zůstane zachováno. V navržených úpravách bytového domu nejsou prováděny změny vnitřních dispozic. Barevné řešení fasády bylo navrženo probarvenými omítkami - viz výkresová část. </w:t>
      </w:r>
    </w:p>
    <w:p w14:paraId="0BD56D77" w14:textId="1ED8AB64" w:rsidR="00F008B7" w:rsidRDefault="00F008B7" w:rsidP="00F008B7">
      <w:pPr>
        <w:rPr>
          <w:b/>
          <w:bCs/>
        </w:rPr>
      </w:pPr>
      <w:r>
        <w:t>Předmětem stavebních úprav bytového domu je zateplení objektu</w:t>
      </w:r>
      <w:r w:rsidR="008C4A3E">
        <w:t xml:space="preserve"> a</w:t>
      </w:r>
      <w:r>
        <w:t xml:space="preserve"> odstranění stávající stře</w:t>
      </w:r>
      <w:r w:rsidR="0024282A">
        <w:t>šní krytiny</w:t>
      </w:r>
      <w:r>
        <w:t>. V rámci úprav budou provedeny tyto práce:</w:t>
      </w:r>
    </w:p>
    <w:p w14:paraId="2FB3E94F" w14:textId="417860B2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oklepání omítky na fasádě BD </w:t>
      </w:r>
      <w:r w:rsidR="007864D7">
        <w:t>3</w:t>
      </w:r>
      <w:r>
        <w:t>0 % plochy</w:t>
      </w:r>
    </w:p>
    <w:p w14:paraId="211817B9" w14:textId="77777777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demontáž okapového chodníku</w:t>
      </w:r>
    </w:p>
    <w:p w14:paraId="0457ED0E" w14:textId="4D799630" w:rsidR="00C22850" w:rsidRPr="00C22850" w:rsidRDefault="00C22850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d</w:t>
      </w:r>
      <w:r w:rsidRPr="00C22850">
        <w:t>emontáž lan hromosvodu</w:t>
      </w:r>
    </w:p>
    <w:p w14:paraId="3C2DD2D5" w14:textId="69242EFB" w:rsidR="00C22850" w:rsidRPr="00C22850" w:rsidRDefault="00C22850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d</w:t>
      </w:r>
      <w:r w:rsidRPr="00C22850">
        <w:t>emontáž oplechování parapetů</w:t>
      </w:r>
    </w:p>
    <w:p w14:paraId="44FDF751" w14:textId="2BA54170" w:rsidR="00C22850" w:rsidRPr="00C22850" w:rsidRDefault="00C22850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>d</w:t>
      </w:r>
      <w:r w:rsidRPr="00C22850">
        <w:t>emontáž okapů, střešních svodů</w:t>
      </w:r>
    </w:p>
    <w:p w14:paraId="5E05B245" w14:textId="7F734E42" w:rsidR="00C22850" w:rsidRPr="00C22850" w:rsidRDefault="00F67C43" w:rsidP="00C22850">
      <w:pPr>
        <w:pStyle w:val="Odstavecseseznamem"/>
        <w:numPr>
          <w:ilvl w:val="0"/>
          <w:numId w:val="11"/>
        </w:numPr>
        <w:spacing w:before="120" w:line="276" w:lineRule="auto"/>
      </w:pPr>
      <w:r>
        <w:t xml:space="preserve">demontáž </w:t>
      </w:r>
      <w:r w:rsidR="00C22850" w:rsidRPr="00C22850">
        <w:t xml:space="preserve">střešní krytiny </w:t>
      </w:r>
      <w:r>
        <w:t xml:space="preserve">vč. </w:t>
      </w:r>
      <w:r w:rsidR="00C22850" w:rsidRPr="00C22850">
        <w:t>bednění</w:t>
      </w:r>
    </w:p>
    <w:p w14:paraId="081B4E8A" w14:textId="24048795" w:rsidR="00C22850" w:rsidRDefault="00C22850" w:rsidP="00C22850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>d</w:t>
      </w:r>
      <w:r w:rsidRPr="00C22850">
        <w:t>emontáž drobných prvků na fasádě (satelity, větrací mřížky apod.</w:t>
      </w:r>
      <w:r>
        <w:t>)</w:t>
      </w:r>
    </w:p>
    <w:p w14:paraId="51D59311" w14:textId="5700006D" w:rsidR="00B27B1B" w:rsidRDefault="00B27B1B" w:rsidP="00F008B7">
      <w:pPr>
        <w:pStyle w:val="Odstavecseseznamem"/>
        <w:numPr>
          <w:ilvl w:val="0"/>
          <w:numId w:val="11"/>
        </w:numPr>
        <w:spacing w:after="0" w:line="240" w:lineRule="auto"/>
      </w:pPr>
      <w:r>
        <w:t>odstranění stávajícíh</w:t>
      </w:r>
      <w:r w:rsidR="00344655">
        <w:t>o</w:t>
      </w:r>
      <w:r>
        <w:t xml:space="preserve"> </w:t>
      </w:r>
      <w:r w:rsidR="00344655">
        <w:t>vstupního schodiště</w:t>
      </w:r>
      <w:r>
        <w:t xml:space="preserve"> do </w:t>
      </w:r>
      <w:r w:rsidR="00344655">
        <w:t xml:space="preserve">dvoupodlažního </w:t>
      </w:r>
      <w:r>
        <w:t>objektu</w:t>
      </w:r>
    </w:p>
    <w:p w14:paraId="361D3223" w14:textId="75B60149" w:rsidR="00B116CD" w:rsidRDefault="00B116CD" w:rsidP="00F008B7">
      <w:pPr>
        <w:pStyle w:val="Odstavecseseznamem"/>
        <w:numPr>
          <w:ilvl w:val="0"/>
          <w:numId w:val="11"/>
        </w:numPr>
        <w:spacing w:after="0" w:line="240" w:lineRule="auto"/>
      </w:pPr>
      <w:r>
        <w:t>odstranění stávající izolace kolem objektu BD</w:t>
      </w:r>
    </w:p>
    <w:p w14:paraId="625C38D1" w14:textId="182763DE" w:rsidR="00EB516C" w:rsidRDefault="00EB516C" w:rsidP="00EB516C">
      <w:pPr>
        <w:pStyle w:val="Odstavecseseznamem"/>
        <w:numPr>
          <w:ilvl w:val="0"/>
          <w:numId w:val="11"/>
        </w:numPr>
        <w:spacing w:after="0" w:line="240" w:lineRule="auto"/>
      </w:pPr>
      <w:r>
        <w:t>provedení zateplení objektu BD vč. stropu sklepa</w:t>
      </w:r>
    </w:p>
    <w:p w14:paraId="6EB4826E" w14:textId="16AD71AD" w:rsidR="00F008B7" w:rsidRPr="00B116CD" w:rsidRDefault="00F008B7" w:rsidP="00F008B7">
      <w:pPr>
        <w:pStyle w:val="Odstavecseseznamem"/>
        <w:numPr>
          <w:ilvl w:val="0"/>
          <w:numId w:val="11"/>
        </w:numPr>
        <w:spacing w:after="0" w:line="240" w:lineRule="auto"/>
      </w:pPr>
      <w:r w:rsidRPr="00B116CD">
        <w:t xml:space="preserve">provedení </w:t>
      </w:r>
      <w:r w:rsidR="002E3F0E">
        <w:t>odizolování</w:t>
      </w:r>
      <w:r w:rsidRPr="00B116CD">
        <w:t xml:space="preserve"> obvodových nosných zdí z vnější strany HI pomocí asfaltových modifikovaných pásů a nopové fólie </w:t>
      </w:r>
    </w:p>
    <w:p w14:paraId="1DFCAC0D" w14:textId="77777777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provedení nového okapového chodníku, přespádování, úprava terénu a zateplení pod zem </w:t>
      </w:r>
    </w:p>
    <w:p w14:paraId="01612C65" w14:textId="251D92ED" w:rsidR="00F008B7" w:rsidRDefault="00F008B7" w:rsidP="00F008B7">
      <w:pPr>
        <w:pStyle w:val="Odstavecseseznamem"/>
        <w:numPr>
          <w:ilvl w:val="0"/>
          <w:numId w:val="11"/>
        </w:numPr>
        <w:spacing w:before="120" w:after="0" w:line="276" w:lineRule="auto"/>
      </w:pPr>
      <w:r>
        <w:t xml:space="preserve">oprava stříšky nad vstupními dveřmi včetně </w:t>
      </w:r>
      <w:r w:rsidR="0047774B">
        <w:t xml:space="preserve">nového </w:t>
      </w:r>
      <w:r>
        <w:t>oplechování</w:t>
      </w:r>
    </w:p>
    <w:p w14:paraId="7B46B46A" w14:textId="0DA1506D" w:rsidR="002F4D6E" w:rsidRPr="00C23257" w:rsidRDefault="002F4D6E" w:rsidP="002F4D6E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 xml:space="preserve">provedení nové střešní krytiny vč. bednění </w:t>
      </w:r>
      <w:r w:rsidRPr="00E10BB3">
        <w:t xml:space="preserve">a opravy trámů v rozsahu cca 30%, oprava krokví, </w:t>
      </w:r>
      <w:r w:rsidRPr="00C23257">
        <w:t>nátěr, provedení pojistné izolace a nové krytiny z PZN plechů (imitace falcované), včetně povrchové ochrany, součástí bude lemování, sněhové zábrany</w:t>
      </w:r>
    </w:p>
    <w:p w14:paraId="62844104" w14:textId="251A59DC" w:rsidR="002F4D6E" w:rsidRPr="00D325AF" w:rsidRDefault="002F4D6E" w:rsidP="002F4D6E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D325AF">
        <w:t>osazení laviček pro přístup k výlezov</w:t>
      </w:r>
      <w:r w:rsidR="00D325AF" w:rsidRPr="00D325AF">
        <w:t>ému</w:t>
      </w:r>
      <w:r w:rsidRPr="00D325AF">
        <w:t xml:space="preserve"> okýnk</w:t>
      </w:r>
      <w:r w:rsidR="00D325AF" w:rsidRPr="00D325AF">
        <w:t>u</w:t>
      </w:r>
    </w:p>
    <w:p w14:paraId="06BF0FB2" w14:textId="77777777" w:rsidR="002F4D6E" w:rsidRPr="00C23257" w:rsidRDefault="002F4D6E" w:rsidP="002F4D6E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osazení laviček na střeše</w:t>
      </w:r>
    </w:p>
    <w:p w14:paraId="6AC9DFF3" w14:textId="36E3016D" w:rsidR="002F4D6E" w:rsidRDefault="002F4D6E" w:rsidP="002F4D6E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D325AF">
        <w:t>osazení nov</w:t>
      </w:r>
      <w:r w:rsidR="00D325AF" w:rsidRPr="00D325AF">
        <w:t>ého</w:t>
      </w:r>
      <w:r w:rsidRPr="00D325AF">
        <w:t xml:space="preserve"> střešníh</w:t>
      </w:r>
      <w:r w:rsidR="00D325AF" w:rsidRPr="00D325AF">
        <w:t>o</w:t>
      </w:r>
      <w:r w:rsidRPr="00D325AF">
        <w:t xml:space="preserve"> výlez</w:t>
      </w:r>
      <w:r w:rsidR="00D325AF" w:rsidRPr="00D325AF">
        <w:t>u</w:t>
      </w:r>
      <w:r w:rsidR="00D325AF">
        <w:t xml:space="preserve"> ke komínu</w:t>
      </w:r>
    </w:p>
    <w:p w14:paraId="3DBA7E6D" w14:textId="5AB178A2" w:rsidR="00EB516C" w:rsidRPr="00D325AF" w:rsidRDefault="00EB516C" w:rsidP="00EB516C">
      <w:pPr>
        <w:pStyle w:val="Odstavecseseznamem"/>
        <w:numPr>
          <w:ilvl w:val="0"/>
          <w:numId w:val="11"/>
        </w:numPr>
        <w:spacing w:before="120" w:after="0" w:line="276" w:lineRule="auto"/>
      </w:pPr>
      <w:r w:rsidRPr="00C23257">
        <w:t>provedení nové</w:t>
      </w:r>
      <w:r>
        <w:t>ho</w:t>
      </w:r>
      <w:r w:rsidRPr="00C23257">
        <w:t xml:space="preserve"> hromosvodu včetně uzemnění</w:t>
      </w:r>
    </w:p>
    <w:p w14:paraId="40083CC7" w14:textId="4E6AD0D3" w:rsidR="00227AA8" w:rsidRDefault="00227AA8" w:rsidP="00F008B7">
      <w:pPr>
        <w:pStyle w:val="Odstavecseseznamem"/>
        <w:numPr>
          <w:ilvl w:val="0"/>
          <w:numId w:val="11"/>
        </w:numPr>
        <w:spacing w:after="0" w:line="240" w:lineRule="auto"/>
      </w:pPr>
      <w:r>
        <w:t>provedení nového schodiště z betonových palisád a betonové dlažby</w:t>
      </w:r>
    </w:p>
    <w:p w14:paraId="495E5861" w14:textId="66D85873" w:rsidR="00C139A3" w:rsidRDefault="00C139A3" w:rsidP="00C139A3">
      <w:pPr>
        <w:pStyle w:val="Odstavecseseznamem"/>
        <w:numPr>
          <w:ilvl w:val="0"/>
          <w:numId w:val="11"/>
        </w:numPr>
        <w:spacing w:after="0" w:line="240" w:lineRule="auto"/>
      </w:pPr>
      <w:r>
        <w:t>p</w:t>
      </w:r>
      <w:r w:rsidRPr="00C23257">
        <w:t xml:space="preserve">rovedení nového oplechování, svislých svodů včetně </w:t>
      </w:r>
      <w:r w:rsidR="00E10BB3">
        <w:t>napojení</w:t>
      </w:r>
      <w:r w:rsidRPr="00C23257">
        <w:t xml:space="preserve"> na</w:t>
      </w:r>
      <w:r w:rsidR="00E10BB3">
        <w:t xml:space="preserve"> nové</w:t>
      </w:r>
      <w:r w:rsidRPr="00C23257">
        <w:t xml:space="preserve"> Geigry</w:t>
      </w:r>
    </w:p>
    <w:p w14:paraId="14C613C3" w14:textId="044B4A0D" w:rsidR="00A87313" w:rsidRPr="00C23257" w:rsidRDefault="00A87313" w:rsidP="00C139A3">
      <w:pPr>
        <w:pStyle w:val="Odstavecseseznamem"/>
        <w:numPr>
          <w:ilvl w:val="0"/>
          <w:numId w:val="11"/>
        </w:numPr>
        <w:spacing w:after="0" w:line="240" w:lineRule="auto"/>
      </w:pPr>
      <w:r>
        <w:t>oprava stávajícího ležatého potrubí dešťové kanalizace ve stávající trase</w:t>
      </w:r>
    </w:p>
    <w:p w14:paraId="0E61B826" w14:textId="1BD0CB97" w:rsidR="00A37156" w:rsidRDefault="00A37156" w:rsidP="00134CF3">
      <w:pPr>
        <w:spacing w:line="240" w:lineRule="auto"/>
      </w:pPr>
    </w:p>
    <w:p w14:paraId="341F20F8" w14:textId="77777777" w:rsidR="002C6609" w:rsidRDefault="002C6609" w:rsidP="00134CF3">
      <w:pPr>
        <w:spacing w:line="240" w:lineRule="auto"/>
      </w:pPr>
    </w:p>
    <w:p w14:paraId="6BB5DA12" w14:textId="41548C47" w:rsidR="00C657E2" w:rsidRDefault="003F51B7" w:rsidP="006F747F">
      <w:pPr>
        <w:pStyle w:val="Nadpis2"/>
      </w:pPr>
      <w:bookmarkStart w:id="29" w:name="_Toc49776151"/>
      <w:bookmarkStart w:id="30" w:name="_Toc454361887"/>
      <w:bookmarkEnd w:id="20"/>
      <w:bookmarkEnd w:id="28"/>
      <w:r>
        <w:t>3.1.</w:t>
      </w:r>
      <w:r>
        <w:tab/>
      </w:r>
      <w:r w:rsidR="00C657E2" w:rsidRPr="0018230C">
        <w:t>Bourací práce a demontáže</w:t>
      </w:r>
      <w:bookmarkEnd w:id="29"/>
    </w:p>
    <w:p w14:paraId="63964FD1" w14:textId="77777777" w:rsidR="00BD267D" w:rsidRPr="0018230C" w:rsidRDefault="00BD267D" w:rsidP="006F747F">
      <w:pPr>
        <w:pStyle w:val="Nadpis2"/>
      </w:pPr>
    </w:p>
    <w:p w14:paraId="501E3010" w14:textId="575E5C8F" w:rsidR="00F94412" w:rsidRPr="004B3D65" w:rsidRDefault="00C657E2" w:rsidP="004B3D65">
      <w:pPr>
        <w:spacing w:line="276" w:lineRule="auto"/>
        <w:rPr>
          <w:rFonts w:eastAsiaTheme="minorHAnsi" w:cstheme="minorBidi"/>
          <w:lang w:eastAsia="en-US"/>
        </w:rPr>
      </w:pPr>
      <w:r w:rsidRPr="00EC2F82">
        <w:t xml:space="preserve">V rámci navržených stavebních a bouracích prací </w:t>
      </w:r>
      <w:r w:rsidR="00EF305D">
        <w:t>ne</w:t>
      </w:r>
      <w:r w:rsidRPr="00EC2F82">
        <w:t xml:space="preserve">bude zasahováno do nosných konstrukcí objektu. </w:t>
      </w:r>
      <w:r w:rsidR="00E06D31" w:rsidRPr="008C3CDF">
        <w:rPr>
          <w:rFonts w:eastAsiaTheme="minorHAnsi" w:cstheme="minorBidi"/>
          <w:lang w:eastAsia="en-US"/>
        </w:rPr>
        <w:t>V rámci revitalizace budou odstraněny tyto stávající konstrukce:</w:t>
      </w:r>
    </w:p>
    <w:p w14:paraId="097424E2" w14:textId="77777777" w:rsidR="0005348B" w:rsidRDefault="0005348B" w:rsidP="0005348B">
      <w:pPr>
        <w:pStyle w:val="Odstavecseseznamem"/>
        <w:numPr>
          <w:ilvl w:val="0"/>
          <w:numId w:val="6"/>
        </w:numPr>
      </w:pPr>
      <w:r>
        <w:t>odstranění stávající krytiny na střeše včetně podkladních konstrukcí a všech kovových prvků</w:t>
      </w:r>
      <w:r w:rsidRPr="00EC2F82">
        <w:t xml:space="preserve">  </w:t>
      </w:r>
    </w:p>
    <w:p w14:paraId="594D6C7E" w14:textId="172302D2" w:rsidR="00021E5F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021E5F" w:rsidRPr="00EC2F82">
        <w:t xml:space="preserve">emontáž </w:t>
      </w:r>
      <w:r w:rsidR="00F87B3C">
        <w:t>všech klempířských prvků</w:t>
      </w:r>
      <w:r w:rsidR="004C073D">
        <w:t xml:space="preserve"> dotčených </w:t>
      </w:r>
      <w:r w:rsidR="008E434E">
        <w:t>se zateplením</w:t>
      </w:r>
      <w:r w:rsidR="00470543">
        <w:t xml:space="preserve"> </w:t>
      </w:r>
    </w:p>
    <w:p w14:paraId="05574DC9" w14:textId="77777777" w:rsidR="00131288" w:rsidRPr="00EC2F82" w:rsidRDefault="00131288" w:rsidP="00131288">
      <w:pPr>
        <w:pStyle w:val="Odstavecseseznamem"/>
        <w:numPr>
          <w:ilvl w:val="0"/>
          <w:numId w:val="6"/>
        </w:numPr>
      </w:pPr>
      <w:r>
        <w:t>o</w:t>
      </w:r>
      <w:r w:rsidRPr="00EC2F82">
        <w:t>klepání nesoudržných části omítky na fasádě</w:t>
      </w:r>
    </w:p>
    <w:p w14:paraId="5C43DE30" w14:textId="0775ED0A" w:rsidR="00C657E2" w:rsidRPr="00EC2F82" w:rsidRDefault="001702B3" w:rsidP="00D67418">
      <w:pPr>
        <w:pStyle w:val="Odstavecseseznamem"/>
        <w:numPr>
          <w:ilvl w:val="0"/>
          <w:numId w:val="6"/>
        </w:numPr>
      </w:pPr>
      <w:r>
        <w:t>d</w:t>
      </w:r>
      <w:r w:rsidR="00C657E2" w:rsidRPr="00EC2F82">
        <w:t>emontáž hromosvodu</w:t>
      </w:r>
      <w:r w:rsidR="004542E6">
        <w:t>, okapového chodníku</w:t>
      </w:r>
    </w:p>
    <w:p w14:paraId="2807BC6E" w14:textId="77777777" w:rsidR="001702B3" w:rsidRP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větracích mřížek do spíží</w:t>
      </w:r>
    </w:p>
    <w:p w14:paraId="4BD48C12" w14:textId="79E25902" w:rsidR="001702B3" w:rsidRDefault="001702B3" w:rsidP="00D67418">
      <w:pPr>
        <w:pStyle w:val="Odstavecseseznamem"/>
        <w:numPr>
          <w:ilvl w:val="0"/>
          <w:numId w:val="6"/>
        </w:numPr>
        <w:spacing w:before="120" w:after="0" w:line="276" w:lineRule="auto"/>
        <w:rPr>
          <w:rFonts w:eastAsiaTheme="minorEastAsia" w:cs="Times New Roman"/>
          <w:szCs w:val="24"/>
          <w:lang w:eastAsia="cs-CZ"/>
        </w:rPr>
      </w:pPr>
      <w:r w:rsidRPr="001702B3">
        <w:rPr>
          <w:rFonts w:eastAsiaTheme="minorEastAsia" w:cs="Times New Roman"/>
          <w:szCs w:val="24"/>
          <w:lang w:eastAsia="cs-CZ"/>
        </w:rPr>
        <w:t>demontáž oplechování parapetů</w:t>
      </w:r>
    </w:p>
    <w:p w14:paraId="7B7DA958" w14:textId="41C41E72" w:rsidR="002C6609" w:rsidRPr="002C6609" w:rsidRDefault="002C6609" w:rsidP="002C6609">
      <w:pPr>
        <w:pStyle w:val="Odstavecseseznamem"/>
        <w:numPr>
          <w:ilvl w:val="0"/>
          <w:numId w:val="6"/>
        </w:numPr>
        <w:spacing w:after="0" w:line="240" w:lineRule="auto"/>
      </w:pPr>
      <w:r>
        <w:t>odstranění stávajícího vstupního schodiště do dvoupodlažního objektu</w:t>
      </w:r>
    </w:p>
    <w:p w14:paraId="5E187257" w14:textId="77777777" w:rsidR="00B53BFA" w:rsidRPr="00EC2F82" w:rsidRDefault="00B53BFA" w:rsidP="00B53BFA">
      <w:pPr>
        <w:spacing w:line="120" w:lineRule="auto"/>
        <w:ind w:left="357"/>
      </w:pPr>
    </w:p>
    <w:p w14:paraId="1F72C223" w14:textId="149D4FFB" w:rsidR="00C657E2" w:rsidRDefault="00C657E2" w:rsidP="00C657E2">
      <w:r>
        <w:t>Rozsah bouracích a demontážních prací je patrný z výkresové části dokumentace. Pro bourací práce platí, že budou prováděny dle obecných zásad pro bourací práce šetrně k zachovávaným konstrukcím za důsledného provizorního zajištění navazujících a přitěžujících konstrukcí, tak aby nedošlo k ohrožení stability těchto konstrukcí nebo jejich částí.</w:t>
      </w:r>
      <w:r w:rsidR="00C703DC">
        <w:t xml:space="preserve"> Bourací práce jsou ve výkresech označeny zeleně.</w:t>
      </w:r>
    </w:p>
    <w:p w14:paraId="3F98E9A2" w14:textId="77777777" w:rsidR="00194959" w:rsidRDefault="00194959" w:rsidP="009D6EFC">
      <w:pPr>
        <w:rPr>
          <w:sz w:val="23"/>
          <w:szCs w:val="23"/>
        </w:rPr>
      </w:pPr>
    </w:p>
    <w:p w14:paraId="1B829E96" w14:textId="42E744F2" w:rsidR="009D6EFC" w:rsidRPr="00DB56D5" w:rsidRDefault="00194959" w:rsidP="009D6EFC">
      <w:r w:rsidRPr="00DB56D5">
        <w:t>Kolem objektu bude proveden výkop po úroveň základové spáry, včetně rozebrání příp. cihelné přizdívky a odstranění stávající izolace kolem objektu BD. Podle hloubky výkopu bude provedeno pažení dle požadavků platných předpisů.</w:t>
      </w:r>
    </w:p>
    <w:p w14:paraId="30BF9B9E" w14:textId="77777777" w:rsidR="00194959" w:rsidRDefault="00194959" w:rsidP="009D6EFC"/>
    <w:p w14:paraId="2AA83991" w14:textId="7D32A8CC" w:rsidR="009D6EFC" w:rsidRPr="009D6EFC" w:rsidRDefault="009D6EFC" w:rsidP="009D6EFC">
      <w:r w:rsidRPr="009D6EFC">
        <w:t xml:space="preserve">Před zahájením bouracích prací musí být vymezen ohrožený prostor, který musí být zajištěn proti vstupu nepovolaných osob a v zastavěném území oplocen nebo střežen. </w:t>
      </w:r>
    </w:p>
    <w:p w14:paraId="3A5A5AC7" w14:textId="77777777" w:rsidR="009D6EFC" w:rsidRPr="009D6EFC" w:rsidRDefault="009D6EFC" w:rsidP="009D6EFC">
      <w:r w:rsidRPr="009D6EFC">
        <w:t>Bouraným materiálem nesmějí být nadměrně zatěžovány podlahy a stropní konstrukce, jakož i pomocné konstrukce. Materiál musí být průběžně odstraňován.</w:t>
      </w:r>
    </w:p>
    <w:p w14:paraId="33108601" w14:textId="344F32CF" w:rsidR="0018230C" w:rsidRDefault="0018230C" w:rsidP="00C657E2"/>
    <w:p w14:paraId="5D5D0E48" w14:textId="77777777" w:rsidR="004447ED" w:rsidRDefault="004447ED" w:rsidP="00C657E2"/>
    <w:p w14:paraId="108E715D" w14:textId="1A1A2C59" w:rsidR="00FA4D70" w:rsidRDefault="00C74AFB" w:rsidP="006F747F">
      <w:pPr>
        <w:pStyle w:val="Nadpis2"/>
      </w:pPr>
      <w:bookmarkStart w:id="31" w:name="_Toc49776152"/>
      <w:r>
        <w:t>3.2.</w:t>
      </w:r>
      <w:r>
        <w:tab/>
      </w:r>
      <w:r w:rsidR="00C657E2">
        <w:t>S</w:t>
      </w:r>
      <w:r w:rsidR="00FA4D70" w:rsidRPr="00FA4D70">
        <w:t>vislé konstrukce</w:t>
      </w:r>
      <w:bookmarkEnd w:id="30"/>
      <w:r w:rsidR="003B4534">
        <w:t xml:space="preserve"> – </w:t>
      </w:r>
      <w:r w:rsidR="002B2E82">
        <w:t>zateplení fasády</w:t>
      </w:r>
      <w:bookmarkEnd w:id="31"/>
    </w:p>
    <w:p w14:paraId="79241ED5" w14:textId="77777777" w:rsidR="004447ED" w:rsidRPr="00FA4D70" w:rsidRDefault="004447ED" w:rsidP="006F747F">
      <w:pPr>
        <w:pStyle w:val="Nadpis2"/>
      </w:pPr>
    </w:p>
    <w:p w14:paraId="439FBC8D" w14:textId="5D31792B" w:rsidR="00FA4D70" w:rsidRPr="00C74AFB" w:rsidRDefault="00FA4D70" w:rsidP="00FA4D70">
      <w:pPr>
        <w:rPr>
          <w:b/>
        </w:rPr>
      </w:pPr>
      <w:r w:rsidRPr="00C74AFB">
        <w:t>Pro zateplení bude použit vn</w:t>
      </w:r>
      <w:r w:rsidRPr="00C74AFB">
        <w:rPr>
          <w:rFonts w:hint="eastAsia"/>
        </w:rPr>
        <w:t>ě</w:t>
      </w:r>
      <w:r w:rsidRPr="00C74AFB">
        <w:t>j</w:t>
      </w:r>
      <w:r w:rsidRPr="00C74AFB">
        <w:rPr>
          <w:rFonts w:hint="eastAsia"/>
        </w:rPr>
        <w:t>ší</w:t>
      </w:r>
      <w:r w:rsidRPr="00C74AFB">
        <w:t xml:space="preserve"> tepeln</w:t>
      </w:r>
      <w:r w:rsidRPr="00C74AFB">
        <w:rPr>
          <w:rFonts w:hint="eastAsia"/>
        </w:rPr>
        <w:t>ě</w:t>
      </w:r>
      <w:r w:rsidRPr="00C74AFB">
        <w:t xml:space="preserve"> 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 xml:space="preserve"> kompozitn</w:t>
      </w:r>
      <w:r w:rsidRPr="00C74AFB">
        <w:rPr>
          <w:rFonts w:hint="eastAsia"/>
        </w:rPr>
        <w:t>í</w:t>
      </w:r>
      <w:r w:rsidRPr="00C74AFB">
        <w:t xml:space="preserve"> syst</w:t>
      </w:r>
      <w:r w:rsidRPr="00C74AFB">
        <w:rPr>
          <w:rFonts w:hint="eastAsia"/>
        </w:rPr>
        <w:t>é</w:t>
      </w:r>
      <w:r w:rsidRPr="00C74AFB">
        <w:t>m za pou</w:t>
      </w:r>
      <w:r w:rsidRPr="00C74AFB">
        <w:rPr>
          <w:rFonts w:hint="eastAsia"/>
        </w:rPr>
        <w:t>ž</w:t>
      </w:r>
      <w:r w:rsidRPr="00C74AFB">
        <w:t>it</w:t>
      </w:r>
      <w:r w:rsidRPr="00C74AFB">
        <w:rPr>
          <w:rFonts w:hint="eastAsia"/>
        </w:rPr>
        <w:t>í</w:t>
      </w:r>
      <w:r w:rsidRPr="00C74AFB">
        <w:t xml:space="preserve"> </w:t>
      </w:r>
      <w:r w:rsidR="00777417">
        <w:t xml:space="preserve">tepelně </w:t>
      </w:r>
      <w:r w:rsidRPr="00C74AFB">
        <w:t>izola</w:t>
      </w:r>
      <w:r w:rsidRPr="00C74AFB">
        <w:rPr>
          <w:rFonts w:hint="eastAsia"/>
        </w:rPr>
        <w:t>č</w:t>
      </w:r>
      <w:r w:rsidRPr="00C74AFB">
        <w:t>n</w:t>
      </w:r>
      <w:r w:rsidRPr="00C74AFB">
        <w:rPr>
          <w:rFonts w:hint="eastAsia"/>
        </w:rPr>
        <w:t>í</w:t>
      </w:r>
      <w:r w:rsidRPr="00C74AFB">
        <w:t>ch desek z</w:t>
      </w:r>
      <w:r w:rsidR="00777417">
        <w:t>e</w:t>
      </w:r>
      <w:r w:rsidRPr="00C74AFB">
        <w:t xml:space="preserve"> </w:t>
      </w:r>
      <w:r w:rsidR="00777417">
        <w:t xml:space="preserve">šedého </w:t>
      </w:r>
      <w:r w:rsidRPr="00C74AFB">
        <w:t>fas</w:t>
      </w:r>
      <w:r w:rsidRPr="00C74AFB">
        <w:rPr>
          <w:rFonts w:hint="eastAsia"/>
        </w:rPr>
        <w:t>á</w:t>
      </w:r>
      <w:r w:rsidRPr="00C74AFB">
        <w:t>dn</w:t>
      </w:r>
      <w:r w:rsidRPr="00C74AFB">
        <w:rPr>
          <w:rFonts w:hint="eastAsia"/>
        </w:rPr>
        <w:t>í</w:t>
      </w:r>
      <w:r w:rsidR="00D976F2" w:rsidRPr="00C74AFB">
        <w:t>ho polystyrenu</w:t>
      </w:r>
      <w:r w:rsidRPr="00C74AFB">
        <w:t xml:space="preserve">. Povrchovou </w:t>
      </w:r>
      <w:r w:rsidRPr="00C74AFB">
        <w:rPr>
          <w:rFonts w:hint="eastAsia"/>
        </w:rPr>
        <w:t>ú</w:t>
      </w:r>
      <w:r w:rsidRPr="00C74AFB">
        <w:t>pravou zateplovac</w:t>
      </w:r>
      <w:r w:rsidRPr="00C74AFB">
        <w:rPr>
          <w:rFonts w:hint="eastAsia"/>
        </w:rPr>
        <w:t>í</w:t>
      </w:r>
      <w:r w:rsidRPr="00C74AFB">
        <w:t>ho syst</w:t>
      </w:r>
      <w:r w:rsidRPr="00C74AFB">
        <w:rPr>
          <w:rFonts w:hint="eastAsia"/>
        </w:rPr>
        <w:t>é</w:t>
      </w:r>
      <w:r w:rsidRPr="00C74AFB">
        <w:t>mu bude tenkovrstv</w:t>
      </w:r>
      <w:r w:rsidRPr="00C74AFB">
        <w:rPr>
          <w:rFonts w:hint="eastAsia"/>
        </w:rPr>
        <w:t>á</w:t>
      </w:r>
      <w:r w:rsidRPr="00C74AFB">
        <w:t xml:space="preserve"> om</w:t>
      </w:r>
      <w:r w:rsidRPr="00C74AFB">
        <w:rPr>
          <w:rFonts w:hint="eastAsia"/>
        </w:rPr>
        <w:t>í</w:t>
      </w:r>
      <w:r w:rsidRPr="00C74AFB">
        <w:t xml:space="preserve">tka. </w:t>
      </w:r>
    </w:p>
    <w:p w14:paraId="2E772F5C" w14:textId="402BBE21" w:rsidR="00B53BFA" w:rsidRPr="001A08C5" w:rsidRDefault="00D976F2" w:rsidP="00C926F4">
      <w:pPr>
        <w:spacing w:before="120"/>
      </w:pPr>
      <w:r w:rsidRPr="001A08C5">
        <w:rPr>
          <w:b/>
        </w:rPr>
        <w:t xml:space="preserve">Přípravné práce - </w:t>
      </w:r>
      <w:r w:rsidR="00371CB1" w:rsidRPr="001A08C5">
        <w:t>p</w:t>
      </w:r>
      <w:r w:rsidR="00FA4D70" w:rsidRPr="001A08C5">
        <w:t xml:space="preserve">řed vlastním zateplením objektu bude stávající fasáda očištěna tlakovou vodou a bude provedena kontrola přídržnosti stávající omítky a rovinnosti podkladu. Před provedením zateplení budou nesoudržné části stávající fasády odstraněny a bude provedeno vyrovnání a vyspravení povrchu stěn </w:t>
      </w:r>
      <w:r w:rsidR="007C48C6" w:rsidRPr="001A08C5">
        <w:rPr>
          <w:b/>
        </w:rPr>
        <w:t xml:space="preserve">(předpoklad </w:t>
      </w:r>
      <w:r w:rsidR="00A26C4F">
        <w:rPr>
          <w:b/>
        </w:rPr>
        <w:t>3</w:t>
      </w:r>
      <w:r w:rsidR="00350AEA" w:rsidRPr="001A08C5">
        <w:rPr>
          <w:b/>
        </w:rPr>
        <w:t>0</w:t>
      </w:r>
      <w:r w:rsidR="00FA4D70" w:rsidRPr="001A08C5">
        <w:rPr>
          <w:b/>
        </w:rPr>
        <w:t>% plochy stávající fasády).</w:t>
      </w:r>
      <w:r w:rsidR="00FA4D70" w:rsidRPr="001A08C5">
        <w:t xml:space="preserve"> Před prováděním zateplovacího systému budou všechna okna a dveře zabezpečeny fóliemi proti poškození.</w:t>
      </w:r>
    </w:p>
    <w:p w14:paraId="468822EA" w14:textId="44951D76" w:rsidR="00C926F4" w:rsidRPr="001A08C5" w:rsidRDefault="00C926F4" w:rsidP="00C926F4">
      <w:pPr>
        <w:spacing w:before="120"/>
      </w:pPr>
      <w:r w:rsidRPr="001A08C5">
        <w:rPr>
          <w:b/>
        </w:rPr>
        <w:t xml:space="preserve">Zateplení </w:t>
      </w:r>
      <w:r w:rsidR="002A5A84">
        <w:rPr>
          <w:b/>
        </w:rPr>
        <w:t>objektu</w:t>
      </w:r>
      <w:r w:rsidRPr="001A08C5">
        <w:rPr>
          <w:b/>
        </w:rPr>
        <w:t xml:space="preserve"> </w:t>
      </w:r>
      <w:r w:rsidR="00733179" w:rsidRPr="001A08C5">
        <w:rPr>
          <w:b/>
        </w:rPr>
        <w:t>bude provedeno v tomto rozsahu</w:t>
      </w:r>
      <w:r w:rsidR="00AE2B27" w:rsidRPr="001A08C5">
        <w:rPr>
          <w:b/>
        </w:rPr>
        <w:t>:</w:t>
      </w:r>
      <w:r w:rsidRPr="001A08C5">
        <w:t xml:space="preserve"> </w:t>
      </w:r>
      <w:r w:rsidR="00FA4D70" w:rsidRPr="001A08C5">
        <w:t xml:space="preserve"> </w:t>
      </w:r>
    </w:p>
    <w:p w14:paraId="3D5CBB96" w14:textId="77777777" w:rsidR="00A37156" w:rsidRPr="001A08C5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1A08C5">
        <w:rPr>
          <w:sz w:val="24"/>
          <w:szCs w:val="24"/>
        </w:rPr>
        <w:t xml:space="preserve">Obvodové stěny </w:t>
      </w:r>
      <w:r>
        <w:rPr>
          <w:sz w:val="24"/>
          <w:szCs w:val="24"/>
        </w:rPr>
        <w:t xml:space="preserve">budou </w:t>
      </w:r>
      <w:r w:rsidRPr="001A08C5">
        <w:rPr>
          <w:sz w:val="24"/>
          <w:szCs w:val="24"/>
        </w:rPr>
        <w:t>opatřeny kontaktním zateplovacím systémem s tepelnou izolací z </w:t>
      </w:r>
      <w:r w:rsidRPr="001A08C5">
        <w:rPr>
          <w:b/>
          <w:sz w:val="24"/>
          <w:szCs w:val="24"/>
        </w:rPr>
        <w:t>fasádního pěnového polystyrénu s grafitem (λ</w:t>
      </w:r>
      <w:r w:rsidRPr="001A08C5">
        <w:rPr>
          <w:b/>
          <w:sz w:val="24"/>
          <w:szCs w:val="24"/>
          <w:vertAlign w:val="subscript"/>
        </w:rPr>
        <w:t>D</w:t>
      </w:r>
      <w:r w:rsidRPr="001A08C5">
        <w:rPr>
          <w:b/>
          <w:sz w:val="24"/>
          <w:szCs w:val="24"/>
        </w:rPr>
        <w:t xml:space="preserve"> = 0,032 W/(m·K)) tl. 160 mm</w:t>
      </w:r>
      <w:r w:rsidRPr="001A08C5">
        <w:rPr>
          <w:sz w:val="24"/>
          <w:szCs w:val="24"/>
        </w:rPr>
        <w:t xml:space="preserve">. </w:t>
      </w:r>
    </w:p>
    <w:p w14:paraId="2995401C" w14:textId="1D8238FA" w:rsidR="00A37156" w:rsidRPr="0011386C" w:rsidRDefault="00A37156" w:rsidP="00A37156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973F4F">
        <w:rPr>
          <w:sz w:val="24"/>
          <w:szCs w:val="24"/>
        </w:rPr>
        <w:t xml:space="preserve">Obvodové stěny u vstupů do budovy </w:t>
      </w:r>
      <w:r>
        <w:rPr>
          <w:sz w:val="24"/>
          <w:szCs w:val="24"/>
        </w:rPr>
        <w:t xml:space="preserve">budou opatřeny </w:t>
      </w:r>
      <w:r w:rsidRPr="00973F4F">
        <w:rPr>
          <w:sz w:val="24"/>
          <w:szCs w:val="24"/>
        </w:rPr>
        <w:t>kontaktním zateplovacím systém s tepelnou izolací z </w:t>
      </w:r>
      <w:r w:rsidRPr="00D23EE3">
        <w:rPr>
          <w:b/>
          <w:sz w:val="24"/>
          <w:szCs w:val="24"/>
        </w:rPr>
        <w:t>fasádní minerální v</w:t>
      </w:r>
      <w:r>
        <w:rPr>
          <w:b/>
          <w:sz w:val="24"/>
          <w:szCs w:val="24"/>
        </w:rPr>
        <w:t>lny</w:t>
      </w:r>
      <w:r w:rsidRPr="00D23EE3">
        <w:rPr>
          <w:b/>
          <w:sz w:val="24"/>
          <w:szCs w:val="24"/>
        </w:rPr>
        <w:t xml:space="preserve"> </w:t>
      </w:r>
      <w:r w:rsidRPr="001A08C5">
        <w:rPr>
          <w:b/>
          <w:sz w:val="24"/>
          <w:szCs w:val="24"/>
        </w:rPr>
        <w:t>(λ</w:t>
      </w:r>
      <w:r w:rsidRPr="001A08C5">
        <w:rPr>
          <w:b/>
          <w:sz w:val="24"/>
          <w:szCs w:val="24"/>
          <w:vertAlign w:val="subscript"/>
        </w:rPr>
        <w:t>D</w:t>
      </w:r>
      <w:r w:rsidRPr="001A08C5">
        <w:rPr>
          <w:b/>
          <w:sz w:val="24"/>
          <w:szCs w:val="24"/>
        </w:rPr>
        <w:t xml:space="preserve"> = 0,0</w:t>
      </w:r>
      <w:r>
        <w:rPr>
          <w:b/>
          <w:sz w:val="24"/>
          <w:szCs w:val="24"/>
        </w:rPr>
        <w:t>36</w:t>
      </w:r>
      <w:r w:rsidRPr="001A08C5">
        <w:rPr>
          <w:b/>
          <w:sz w:val="24"/>
          <w:szCs w:val="24"/>
        </w:rPr>
        <w:t xml:space="preserve"> W/(m·K)) </w:t>
      </w:r>
      <w:r w:rsidRPr="00D23EE3">
        <w:rPr>
          <w:b/>
          <w:sz w:val="24"/>
          <w:szCs w:val="24"/>
        </w:rPr>
        <w:t>tl. 160 mm.</w:t>
      </w:r>
    </w:p>
    <w:p w14:paraId="27D09448" w14:textId="6297F607" w:rsidR="0011386C" w:rsidRPr="0011386C" w:rsidRDefault="0011386C" w:rsidP="0011386C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1D4336">
        <w:rPr>
          <w:sz w:val="24"/>
          <w:szCs w:val="24"/>
        </w:rPr>
        <w:t xml:space="preserve">Půda bude zateplena izolací z minerální vlny </w:t>
      </w:r>
      <w:r w:rsidRPr="001D4336">
        <w:rPr>
          <w:b/>
          <w:sz w:val="24"/>
          <w:szCs w:val="24"/>
        </w:rPr>
        <w:t>(λ</w:t>
      </w:r>
      <w:r w:rsidRPr="001D4336">
        <w:rPr>
          <w:b/>
          <w:sz w:val="24"/>
          <w:szCs w:val="24"/>
          <w:vertAlign w:val="subscript"/>
        </w:rPr>
        <w:t>D</w:t>
      </w:r>
      <w:r w:rsidRPr="001D4336">
        <w:rPr>
          <w:b/>
          <w:sz w:val="24"/>
          <w:szCs w:val="24"/>
        </w:rPr>
        <w:t xml:space="preserve"> = 0,041 W/(m·K)) tl. 2x120 mm. </w:t>
      </w:r>
    </w:p>
    <w:p w14:paraId="3660CF41" w14:textId="43D3F542" w:rsidR="005428DE" w:rsidRPr="005428DE" w:rsidRDefault="005428DE" w:rsidP="005428DE">
      <w:pPr>
        <w:pStyle w:val="Odstavecseseznamem"/>
        <w:numPr>
          <w:ilvl w:val="0"/>
          <w:numId w:val="8"/>
        </w:numPr>
        <w:spacing w:before="120"/>
        <w:ind w:left="426"/>
        <w:rPr>
          <w:sz w:val="24"/>
          <w:szCs w:val="24"/>
        </w:rPr>
      </w:pPr>
      <w:r w:rsidRPr="005C422D">
        <w:rPr>
          <w:sz w:val="24"/>
          <w:szCs w:val="24"/>
        </w:rPr>
        <w:t xml:space="preserve">Pro oblast soklu </w:t>
      </w:r>
      <w:r>
        <w:rPr>
          <w:sz w:val="24"/>
          <w:szCs w:val="24"/>
        </w:rPr>
        <w:t>bude použit</w:t>
      </w:r>
      <w:r w:rsidRPr="005C422D">
        <w:rPr>
          <w:sz w:val="24"/>
          <w:szCs w:val="24"/>
        </w:rPr>
        <w:t xml:space="preserve"> </w:t>
      </w:r>
      <w:r w:rsidRPr="00973F4F">
        <w:rPr>
          <w:sz w:val="24"/>
          <w:szCs w:val="24"/>
        </w:rPr>
        <w:t>kontaktní zateplovací systém s </w:t>
      </w:r>
      <w:r w:rsidRPr="005C422D">
        <w:rPr>
          <w:sz w:val="24"/>
          <w:szCs w:val="24"/>
        </w:rPr>
        <w:t>tepeln</w:t>
      </w:r>
      <w:r>
        <w:rPr>
          <w:sz w:val="24"/>
          <w:szCs w:val="24"/>
        </w:rPr>
        <w:t>ou</w:t>
      </w:r>
      <w:r w:rsidRPr="005C422D">
        <w:rPr>
          <w:sz w:val="24"/>
          <w:szCs w:val="24"/>
        </w:rPr>
        <w:t xml:space="preserve"> izolac</w:t>
      </w:r>
      <w:r>
        <w:rPr>
          <w:sz w:val="24"/>
          <w:szCs w:val="24"/>
        </w:rPr>
        <w:t>í</w:t>
      </w:r>
      <w:r w:rsidRPr="005C422D">
        <w:rPr>
          <w:sz w:val="24"/>
          <w:szCs w:val="24"/>
        </w:rPr>
        <w:t xml:space="preserve"> </w:t>
      </w:r>
      <w:r>
        <w:rPr>
          <w:sz w:val="24"/>
          <w:szCs w:val="24"/>
        </w:rPr>
        <w:t>s nízkou nasákavostí</w:t>
      </w:r>
      <w:r w:rsidRPr="005C422D">
        <w:rPr>
          <w:sz w:val="24"/>
          <w:szCs w:val="24"/>
        </w:rPr>
        <w:t xml:space="preserve"> </w:t>
      </w:r>
      <w:r w:rsidRPr="005C422D">
        <w:rPr>
          <w:b/>
          <w:sz w:val="24"/>
          <w:szCs w:val="24"/>
        </w:rPr>
        <w:t>(λ</w:t>
      </w:r>
      <w:r w:rsidRPr="005C422D">
        <w:rPr>
          <w:b/>
          <w:sz w:val="24"/>
          <w:szCs w:val="24"/>
          <w:vertAlign w:val="subscript"/>
        </w:rPr>
        <w:t>D</w:t>
      </w:r>
      <w:r w:rsidRPr="005C422D">
        <w:rPr>
          <w:b/>
          <w:sz w:val="24"/>
          <w:szCs w:val="24"/>
        </w:rPr>
        <w:t xml:space="preserve"> = 0,036 W/(m·K)) tl. 1</w:t>
      </w:r>
      <w:r>
        <w:rPr>
          <w:b/>
          <w:sz w:val="24"/>
          <w:szCs w:val="24"/>
        </w:rPr>
        <w:t>0</w:t>
      </w:r>
      <w:r w:rsidRPr="005C422D">
        <w:rPr>
          <w:b/>
          <w:sz w:val="24"/>
          <w:szCs w:val="24"/>
        </w:rPr>
        <w:t>0 mm</w:t>
      </w:r>
      <w:r w:rsidRPr="005C422D">
        <w:rPr>
          <w:sz w:val="24"/>
          <w:szCs w:val="24"/>
        </w:rPr>
        <w:t>.</w:t>
      </w:r>
    </w:p>
    <w:p w14:paraId="299679B9" w14:textId="77777777" w:rsidR="00A37156" w:rsidRPr="00F627CA" w:rsidRDefault="00A37156" w:rsidP="00A37156">
      <w:pPr>
        <w:pStyle w:val="Odstavecseseznamem"/>
        <w:numPr>
          <w:ilvl w:val="0"/>
          <w:numId w:val="8"/>
        </w:numPr>
        <w:ind w:left="426"/>
        <w:rPr>
          <w:b/>
          <w:sz w:val="24"/>
          <w:szCs w:val="24"/>
        </w:rPr>
      </w:pPr>
      <w:r w:rsidRPr="00F627CA">
        <w:rPr>
          <w:sz w:val="24"/>
          <w:szCs w:val="24"/>
        </w:rPr>
        <w:t xml:space="preserve">Ostění a nadpraží oken budou zatepleny </w:t>
      </w:r>
      <w:bookmarkStart w:id="32" w:name="_Hlk489541397"/>
      <w:r w:rsidRPr="00F627CA">
        <w:rPr>
          <w:sz w:val="24"/>
          <w:szCs w:val="24"/>
        </w:rPr>
        <w:t>tepelnou izolací z pěnového polystyrénu s grafitem</w:t>
      </w:r>
      <w:r w:rsidRPr="00F627CA">
        <w:rPr>
          <w:b/>
          <w:sz w:val="24"/>
          <w:szCs w:val="24"/>
        </w:rPr>
        <w:t xml:space="preserve"> (λ</w:t>
      </w:r>
      <w:r w:rsidRPr="00F627CA">
        <w:rPr>
          <w:b/>
          <w:sz w:val="24"/>
          <w:szCs w:val="24"/>
          <w:vertAlign w:val="subscript"/>
        </w:rPr>
        <w:t>D</w:t>
      </w:r>
      <w:r w:rsidRPr="00F627CA">
        <w:rPr>
          <w:b/>
          <w:sz w:val="24"/>
          <w:szCs w:val="24"/>
        </w:rPr>
        <w:t xml:space="preserve"> = 0,032 W/(m·K)) minimální tl. 30 mm</w:t>
      </w:r>
    </w:p>
    <w:bookmarkEnd w:id="32"/>
    <w:p w14:paraId="0CC864E8" w14:textId="77777777" w:rsidR="00A37156" w:rsidRPr="00A52581" w:rsidRDefault="00A37156" w:rsidP="00A37156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DE1391">
        <w:rPr>
          <w:sz w:val="24"/>
          <w:szCs w:val="24"/>
        </w:rPr>
        <w:t xml:space="preserve">Parapety budou zatepleny tepelnou izolací z extrudovaného polystyrénu </w:t>
      </w:r>
      <w:r w:rsidRPr="00DE1391">
        <w:rPr>
          <w:b/>
          <w:sz w:val="24"/>
          <w:szCs w:val="24"/>
        </w:rPr>
        <w:t>(λD = 0,03</w:t>
      </w:r>
      <w:r>
        <w:rPr>
          <w:b/>
          <w:sz w:val="24"/>
          <w:szCs w:val="24"/>
        </w:rPr>
        <w:t>6</w:t>
      </w:r>
      <w:r w:rsidRPr="00DE1391">
        <w:rPr>
          <w:b/>
          <w:sz w:val="24"/>
          <w:szCs w:val="24"/>
        </w:rPr>
        <w:t xml:space="preserve"> W/(m·K)) minimální tl. 30 mm</w:t>
      </w:r>
    </w:p>
    <w:p w14:paraId="51637819" w14:textId="64D4C3D3" w:rsidR="00A37156" w:rsidRPr="00B6534C" w:rsidRDefault="00A37156" w:rsidP="001A08C5">
      <w:pPr>
        <w:pStyle w:val="Odstavecseseznamem"/>
        <w:numPr>
          <w:ilvl w:val="0"/>
          <w:numId w:val="8"/>
        </w:numPr>
        <w:ind w:left="426"/>
        <w:rPr>
          <w:sz w:val="24"/>
          <w:szCs w:val="24"/>
        </w:rPr>
      </w:pPr>
      <w:r w:rsidRPr="004623B0">
        <w:rPr>
          <w:sz w:val="24"/>
          <w:szCs w:val="24"/>
        </w:rPr>
        <w:t xml:space="preserve">Zateplení stropu sklepa z minerální vlny </w:t>
      </w:r>
      <w:r w:rsidRPr="004623B0">
        <w:rPr>
          <w:b/>
          <w:sz w:val="24"/>
          <w:szCs w:val="24"/>
        </w:rPr>
        <w:t>(λ</w:t>
      </w:r>
      <w:r w:rsidRPr="004623B0">
        <w:rPr>
          <w:b/>
          <w:sz w:val="24"/>
          <w:szCs w:val="24"/>
          <w:vertAlign w:val="subscript"/>
        </w:rPr>
        <w:t>D</w:t>
      </w:r>
      <w:r w:rsidRPr="004623B0">
        <w:rPr>
          <w:b/>
          <w:sz w:val="24"/>
          <w:szCs w:val="24"/>
        </w:rPr>
        <w:t xml:space="preserve"> = 0,041 W/(m·K)) tl. 100 mm</w:t>
      </w:r>
    </w:p>
    <w:p w14:paraId="64AE508F" w14:textId="61A350E6" w:rsidR="001A08C5" w:rsidRDefault="001A08C5" w:rsidP="001A08C5">
      <w:r w:rsidRPr="00797BC0">
        <w:t xml:space="preserve">Zateplení obvodového pláště bude provedeno certifikovaným vnějším kontaktním kompozitním zateplovacím systémem (ETICS) certifikovaným dle ETAG 004 s platným Evropským technickým schválením, kvalitativní třídy A dle CZB, s izolantem z fasádního pěnového polystyrénu tloušťky </w:t>
      </w:r>
      <w:sdt>
        <w:sdtPr>
          <w:alias w:val="Tloušťka izolantu"/>
          <w:tag w:val="Tloušťka izolantu"/>
          <w:id w:val="1015802428"/>
          <w:comboBox>
            <w:listItem w:value="Zvolte položku."/>
            <w:listItem w:displayText="50" w:value="50"/>
            <w:listItem w:displayText="60" w:value="60"/>
            <w:listItem w:displayText="70" w:value="70"/>
            <w:listItem w:displayText="80" w:value="80"/>
            <w:listItem w:displayText="90" w:value="90"/>
            <w:listItem w:displayText="100" w:value="100"/>
            <w:listItem w:displayText="110" w:value="110"/>
            <w:listItem w:displayText="120" w:value="120"/>
            <w:listItem w:displayText="130" w:value="130"/>
            <w:listItem w:displayText="140" w:value="140"/>
            <w:listItem w:displayText="150" w:value="150"/>
            <w:listItem w:displayText="160" w:value="160"/>
            <w:listItem w:displayText="170" w:value="170"/>
            <w:listItem w:displayText="180" w:value="180"/>
            <w:listItem w:displayText="190" w:value="190"/>
            <w:listItem w:displayText="200" w:value="200"/>
            <w:listItem w:displayText="210" w:value="210"/>
            <w:listItem w:displayText="220" w:value="220"/>
            <w:listItem w:displayText="230" w:value="230"/>
            <w:listItem w:displayText="240" w:value="240"/>
            <w:listItem w:displayText="250" w:value="250"/>
            <w:listItem w:displayText="260" w:value="260"/>
            <w:listItem w:displayText="270" w:value="270"/>
            <w:listItem w:displayText="280" w:value="280"/>
            <w:listItem w:displayText="290" w:value="290"/>
            <w:listItem w:displayText="300" w:value="300"/>
          </w:comboBox>
        </w:sdtPr>
        <w:sdtEndPr/>
        <w:sdtContent>
          <w:r w:rsidR="00797BC0" w:rsidRPr="00797BC0">
            <w:t>160 mm</w:t>
          </w:r>
        </w:sdtContent>
      </w:sdt>
      <w:r w:rsidRPr="00797BC0">
        <w:t xml:space="preserve"> a se součinitelem tepelné vodivosti λD = </w:t>
      </w:r>
      <w:sdt>
        <w:sdtPr>
          <w:id w:val="-881864894"/>
          <w:comboBox>
            <w:listItem w:value="Zvolte položku."/>
            <w:listItem w:displayText="0,032" w:value="0,032"/>
            <w:listItem w:displayText="0,039" w:value="0,039"/>
          </w:comboBox>
        </w:sdtPr>
        <w:sdtEndPr/>
        <w:sdtContent>
          <w:r w:rsidR="00797BC0" w:rsidRPr="00797BC0">
            <w:t>0,032</w:t>
          </w:r>
        </w:sdtContent>
      </w:sdt>
      <w:r w:rsidRPr="00797BC0">
        <w:t xml:space="preserve"> W/m.K. Třída reakce na oheň systému je B-s1,d0 dle ČSN EN 13 501-1 a index šíření plamene po povrchu is=0,00 m/min dle ČSN 73 0863. Montáž bude provedena odborně zaškolenou realizační firmou s platným osvědčením o proškolení od výrobce zateplovacího systému. Veškeré postupy provádění budou v souladu s technologickým postupem výrobce ETICS. Výrobce zateplovacího systému doloží předpis na údržbu a čištění ETICS, prokazatelné dokumenty o environmentálních dopadech použitých izolačních materiálů a povrchového souvrství (environmentální dopady lze doložit například environmentální deklarací o produktu (EPD), nebo odpovídajícími, průkaznými dokumenty) a prokazatelně měřené hodnoty vzduchové neprůzvučnosti referenční stěny s ETICS formou aktuálního dokumentu z provedené zkoušky.</w:t>
      </w:r>
    </w:p>
    <w:p w14:paraId="245911E7" w14:textId="77777777" w:rsidR="00C2080A" w:rsidRPr="00797BC0" w:rsidRDefault="00C2080A" w:rsidP="009E237A">
      <w:pPr>
        <w:spacing w:line="120" w:lineRule="auto"/>
      </w:pPr>
    </w:p>
    <w:p w14:paraId="0E55698D" w14:textId="77777777" w:rsidR="001A08C5" w:rsidRDefault="001A08C5" w:rsidP="001A08C5">
      <w:r w:rsidRPr="00797BC0">
        <w:t>Podklad musí být před započetím montáže zateplovacího systému zbaven všech nečistot, mastnoty, biologických nečistot, všech volně se oddělujících vrstev, případně materiálů, které se rozpouští ve vodě. Nesoudržné nátěry a omítky dostatečně nespojené s podkladem je třeba odstranit. Soudržnost podkladu musí být 200 kPa s tím, že nejmenší jednotlivá přípustná hodnota musí vykazovat soudržnost nejméně 80 kPa. Případné vyrovnávání nerovností podkladu je nutno provádět materiály, které těmto hodnotám soudržnosti vyhoví. Na opravené a ošetřené plochy je možno započít s lepením izolantu až po vyschnutí a vyzrání vysprávkových hmot.</w:t>
      </w:r>
    </w:p>
    <w:p w14:paraId="0141A10D" w14:textId="77777777" w:rsidR="00C2080A" w:rsidRPr="00797BC0" w:rsidRDefault="00C2080A" w:rsidP="009E237A">
      <w:pPr>
        <w:spacing w:line="120" w:lineRule="auto"/>
      </w:pPr>
    </w:p>
    <w:p w14:paraId="7DBEF367" w14:textId="77777777" w:rsidR="001A08C5" w:rsidRDefault="001A08C5" w:rsidP="001A08C5">
      <w:r w:rsidRPr="00797BC0">
        <w:t>V případě napadení podkladních ploch plísněmi a řasami musí být řádně očištěny a následně ošetřeny proti opětovnému napadení. Napadené plochy budou ošetřeny odstraňovačem řas, mechů a lišejníků. Použití odstraňovače je třeba provádět v souladu s postupem doporučeným v technickém listu výrobku. Čištění napadených ploch je nutno provádět v příznivých klimatických podmínkách. Zbytky odstraňovače je třeba pečlivě opláchnout z povrchu fasády.</w:t>
      </w:r>
    </w:p>
    <w:p w14:paraId="4DCC2303" w14:textId="77777777" w:rsidR="00C2080A" w:rsidRPr="00797BC0" w:rsidRDefault="00C2080A" w:rsidP="001A08C5"/>
    <w:p w14:paraId="218CA491" w14:textId="00FEFC82" w:rsidR="001A08C5" w:rsidRDefault="001A08C5" w:rsidP="001A08C5">
      <w:r w:rsidRPr="00797BC0">
        <w:t>Zateplovací systém bude založený na plastovou zakládací lištu, případně na zakládací sadu, kvůli eliminaci tepelného mostu. Založení bude splňovat požadavky ČSN 73 0</w:t>
      </w:r>
      <w:r w:rsidR="007E625E">
        <w:t>8</w:t>
      </w:r>
      <w:r w:rsidRPr="00797BC0">
        <w:t>10 (čl. 3.1.3.</w:t>
      </w:r>
      <w:r w:rsidR="007E625E">
        <w:t>3.b</w:t>
      </w:r>
      <w:r w:rsidRPr="00797BC0">
        <w:t xml:space="preserve">) bez nutnosti použití </w:t>
      </w:r>
      <w:r w:rsidR="007E625E" w:rsidRPr="007E625E">
        <w:t xml:space="preserve">založení systému tepelnou izolací </w:t>
      </w:r>
      <w:r w:rsidRPr="007E625E">
        <w:t xml:space="preserve">s třídou reakce na oheň A1/A2 pro založení ETICS s platným požárně klasifikačním </w:t>
      </w:r>
      <w:r w:rsidRPr="00797BC0">
        <w:t xml:space="preserve">osvědčením. Budou použity všechny doplňkové komponenty od dodavatele systému jako okenní lišty, nadokenní lišty, parapetní lišty apod. </w:t>
      </w:r>
    </w:p>
    <w:p w14:paraId="2B67FD86" w14:textId="77777777" w:rsidR="00C2080A" w:rsidRPr="00797BC0" w:rsidRDefault="00C2080A" w:rsidP="001A08C5"/>
    <w:p w14:paraId="2B9202C1" w14:textId="77777777" w:rsidR="001A08C5" w:rsidRDefault="001A08C5" w:rsidP="001A08C5">
      <w:r w:rsidRPr="00797BC0">
        <w:t xml:space="preserve">Zateplovací systém musí vykazovat mechanickou odolnost proti rázu, dle metodiky ETAG 004, min. 15 J bez poškození (kategorie I) s omítkou zrnitosti 1,5 mm. Základní vrstva s vloženou armovací skleněnou síťovinou s gramáží 160 g/m2 bude provedena tmelem na cementové bázi s hodnotou součinitele propustnosti vodních par maximálně 20, ekvivalentní difúzní tloušťka základní vrstvy s omítku maximálně 0,30 m. </w:t>
      </w:r>
    </w:p>
    <w:p w14:paraId="4F75D9B1" w14:textId="77777777" w:rsidR="00C2080A" w:rsidRPr="00797BC0" w:rsidRDefault="00C2080A" w:rsidP="001A08C5"/>
    <w:p w14:paraId="1B8062CF" w14:textId="7AB92B13" w:rsidR="001A08C5" w:rsidRDefault="001A08C5" w:rsidP="001A08C5">
      <w:r w:rsidRPr="00797BC0">
        <w:t>Kotvení zateplovacího systému bude provedeno systémovými plastovými zatloukacími hmoždinkami s certifikací dle ETAG 014. Použité hmoždinky budou mít hodnotu bodového součinitele prostupu tepla 0,000 W/K. Budou provedeny výtažné zkoušky, podle kterých bude určena konečná délka a počet hmoždinek na m2, dle ČSN 73 2902.</w:t>
      </w:r>
    </w:p>
    <w:p w14:paraId="2CB67509" w14:textId="77777777" w:rsidR="005428DE" w:rsidRDefault="005428DE" w:rsidP="00D73FE7">
      <w:pPr>
        <w:spacing w:line="120" w:lineRule="auto"/>
      </w:pPr>
    </w:p>
    <w:p w14:paraId="772D373C" w14:textId="31FAB2C0" w:rsidR="00C2080A" w:rsidRPr="00797BC0" w:rsidRDefault="005428DE" w:rsidP="001A08C5">
      <w:r w:rsidRPr="00797BC0">
        <w:t xml:space="preserve">Soklová část bude zateplena izolantem z XPS do výšky min. 300 mm nad terén, lepeným k podkladu bitumenovým lepidlem. Základní vrstva na soklové části bude provedena jednosložkovou disperzní hmotou s faktorem difúzního odporu ≤ 110. Jako povrchová úprava bude použita mozaiková omítka. </w:t>
      </w:r>
    </w:p>
    <w:p w14:paraId="35BFBC01" w14:textId="77777777" w:rsidR="00D73FE7" w:rsidRDefault="00D73FE7" w:rsidP="00D73FE7">
      <w:pPr>
        <w:spacing w:line="120" w:lineRule="auto"/>
      </w:pPr>
    </w:p>
    <w:p w14:paraId="616B1916" w14:textId="150D2E8E" w:rsidR="001A08C5" w:rsidRPr="00C2080A" w:rsidRDefault="001A08C5" w:rsidP="00C2080A">
      <w:r w:rsidRPr="00797BC0">
        <w:t>Povrchová úprava zateplovacího systému bude provedena pastovitou omítkou obsahující výztužná vlákna, která je rychle schnoucí a poskytuje permanentní ochranou proti růstu řas a plísním se schopností regulace povrchové vlhkosti. Současně bude mít omítka vysokou paropropustnost pro vodní páru s faktorem difúzního odporu 60-80 (kategorie V1), permeabilitu vody v kategorii W3 a reakci na oheň A2 – s1, d0 dle ČSN EN 13501.</w:t>
      </w:r>
    </w:p>
    <w:p w14:paraId="0F39B5F5" w14:textId="33826C94" w:rsidR="00636448" w:rsidRDefault="006E6C34" w:rsidP="00BD5157">
      <w:pPr>
        <w:spacing w:before="120"/>
      </w:pPr>
      <w:r>
        <w:t>Před montáží zateplovacího systému bude provedena detailní kontrola stávající fasády z lešení.</w:t>
      </w:r>
      <w:bookmarkStart w:id="33" w:name="_Toc454361888"/>
    </w:p>
    <w:p w14:paraId="4B9F0F93" w14:textId="49960AC8" w:rsidR="00CC1460" w:rsidRDefault="004B38B8" w:rsidP="006F747F">
      <w:pPr>
        <w:pStyle w:val="Nadpis2"/>
      </w:pPr>
      <w:bookmarkStart w:id="34" w:name="_Toc49776154"/>
      <w:r>
        <w:t>3.</w:t>
      </w:r>
      <w:r w:rsidR="0011460F">
        <w:t>3</w:t>
      </w:r>
      <w:r>
        <w:t>.</w:t>
      </w:r>
      <w:r>
        <w:tab/>
      </w:r>
      <w:r w:rsidR="009E3BD5">
        <w:t>V</w:t>
      </w:r>
      <w:r w:rsidR="00FA4D70" w:rsidRPr="00FA4D70">
        <w:t>odorovné konstrukce</w:t>
      </w:r>
      <w:bookmarkEnd w:id="33"/>
      <w:bookmarkEnd w:id="34"/>
    </w:p>
    <w:p w14:paraId="1C28897A" w14:textId="77777777" w:rsidR="008F293F" w:rsidRPr="00351CA5" w:rsidRDefault="008F293F" w:rsidP="006F747F">
      <w:pPr>
        <w:pStyle w:val="Nadpis2"/>
      </w:pPr>
    </w:p>
    <w:p w14:paraId="369561D6" w14:textId="209904E2" w:rsidR="00E03A1A" w:rsidRDefault="00E03A1A" w:rsidP="00C24616">
      <w:pPr>
        <w:rPr>
          <w:b/>
        </w:rPr>
      </w:pPr>
      <w:r>
        <w:rPr>
          <w:b/>
        </w:rPr>
        <w:t>Střecha:</w:t>
      </w:r>
    </w:p>
    <w:p w14:paraId="4BA4D236" w14:textId="77777777" w:rsidR="002430D3" w:rsidRDefault="002430D3" w:rsidP="002430D3">
      <w:r w:rsidRPr="00E03A1A">
        <w:t xml:space="preserve">Stávající střešní plechová krytina včetně </w:t>
      </w:r>
      <w:r>
        <w:t>bednění, laťování a všech kovových prvků bude odstraněna, krokve budou obnaženy a zajištěny po dobu montáže nové krytiny proti zatečení. Stávající krokve budou v celém rozsahu ošetřeny nátěrem proti plísním a hmyzu, znehodnocené krokve a trámky budou lokálně vyměněny za nové.</w:t>
      </w:r>
    </w:p>
    <w:p w14:paraId="0D214ABF" w14:textId="3AD34AD1" w:rsidR="002430D3" w:rsidRPr="004E2F04" w:rsidRDefault="002430D3" w:rsidP="002430D3">
      <w:r w:rsidRPr="000A699B">
        <w:t>Na stávající krokve</w:t>
      </w:r>
      <w:r>
        <w:rPr>
          <w:b/>
        </w:rPr>
        <w:t xml:space="preserve"> </w:t>
      </w:r>
      <w:r w:rsidRPr="000A699B">
        <w:t>se položí</w:t>
      </w:r>
      <w:r>
        <w:t xml:space="preserve"> parotěsná zábrana (fólie), která bude sloužit jako pojistná fólie, nové kontralatě tl. 40 mm (40x60 mm), laťování tl. 30 mm (30x50 mm) a nová krytina z pozinkovaného plechu s povrchovou úpravou tl. min. 0,63 mm.</w:t>
      </w:r>
      <w:r w:rsidRPr="004E2F0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4E2F04">
        <w:t>U výlezového okna bude osazena střešní lávka délky 600mm umožňující bezpečný pohyb po střeše. Plošina se na střechu umísťuje pomocí kolébky střešní lávky a držáku kolébky.</w:t>
      </w:r>
    </w:p>
    <w:p w14:paraId="513D2ECB" w14:textId="019D6A0C" w:rsidR="002430D3" w:rsidRDefault="002430D3" w:rsidP="002430D3">
      <w:r>
        <w:t>V rámci opravy střechy budou v podkroví osazeny nové lavičky pro přístup k výlezov</w:t>
      </w:r>
      <w:r w:rsidR="00A503E3">
        <w:t>ému</w:t>
      </w:r>
      <w:r>
        <w:t xml:space="preserve"> okýnk</w:t>
      </w:r>
      <w:r w:rsidR="00A503E3">
        <w:t>u</w:t>
      </w:r>
      <w:r>
        <w:t>.</w:t>
      </w:r>
    </w:p>
    <w:p w14:paraId="1D884720" w14:textId="77777777" w:rsidR="00FE5D00" w:rsidRDefault="00FE5D00" w:rsidP="00FE5D00">
      <w:pPr>
        <w:rPr>
          <w:b/>
        </w:rPr>
      </w:pPr>
    </w:p>
    <w:p w14:paraId="11B4FD4D" w14:textId="4A3CE775" w:rsidR="00FE5D00" w:rsidRDefault="00FE5D00" w:rsidP="00FE5D00">
      <w:r w:rsidRPr="00803886">
        <w:rPr>
          <w:b/>
        </w:rPr>
        <w:t>Zateplení stropu nevytápěné půdy</w:t>
      </w:r>
      <w:r>
        <w:rPr>
          <w:b/>
        </w:rPr>
        <w:t>:</w:t>
      </w:r>
    </w:p>
    <w:p w14:paraId="6766276C" w14:textId="77777777" w:rsidR="00FE5D00" w:rsidRPr="00981C14" w:rsidRDefault="00FE5D00" w:rsidP="00FE5D00">
      <w:r w:rsidRPr="00981C14">
        <w:t>Na vyčištěnou podlahu půdy bude položena tepelná izolace z minerální vlny (λD = 0,041 W/(m·K)) tl. 240 mm (120+120 mm), která bude chráněná proti vnějším vlivům difúzní fólií – spoje přelepit.</w:t>
      </w:r>
    </w:p>
    <w:p w14:paraId="550339C4" w14:textId="241E10D4" w:rsidR="00FE5D00" w:rsidRPr="003B17C2" w:rsidRDefault="00FE5D00" w:rsidP="00FE5D00">
      <w:r w:rsidRPr="003B17C2">
        <w:t>V rámci zateplení stropu půdy bud</w:t>
      </w:r>
      <w:r w:rsidR="006B5DA4">
        <w:t>e</w:t>
      </w:r>
      <w:r w:rsidRPr="003B17C2">
        <w:t xml:space="preserve"> proveden </w:t>
      </w:r>
      <w:r w:rsidR="006B5DA4">
        <w:t>lokáln</w:t>
      </w:r>
      <w:r w:rsidRPr="003B17C2">
        <w:t>í pochozí revizní chodník ke komínov</w:t>
      </w:r>
      <w:r w:rsidR="006B5DA4">
        <w:t>ému</w:t>
      </w:r>
      <w:r w:rsidRPr="003B17C2">
        <w:t xml:space="preserve"> těles</w:t>
      </w:r>
      <w:r w:rsidR="006B5DA4">
        <w:t>u</w:t>
      </w:r>
      <w:r w:rsidRPr="003B17C2">
        <w:t xml:space="preserve"> a </w:t>
      </w:r>
      <w:r w:rsidR="004342BA">
        <w:t xml:space="preserve">novému </w:t>
      </w:r>
      <w:r w:rsidRPr="003B17C2">
        <w:t>výlezu na střechu. Dřevěné lávky budou z rámové dřevěné konstrukce a z OSB desek do vlhkého prostředí tl.25 mm.</w:t>
      </w:r>
    </w:p>
    <w:p w14:paraId="6CE27A03" w14:textId="3EF44FE4" w:rsidR="00336C0C" w:rsidRPr="002D1CBF" w:rsidRDefault="00336C0C" w:rsidP="00336C0C">
      <w:r w:rsidRPr="002D1CBF">
        <w:t>Střešní výlezov</w:t>
      </w:r>
      <w:r>
        <w:t>é</w:t>
      </w:r>
      <w:r w:rsidRPr="002D1CBF">
        <w:t xml:space="preserve"> okn</w:t>
      </w:r>
      <w:r>
        <w:t>o</w:t>
      </w:r>
      <w:r w:rsidRPr="002D1CBF">
        <w:t xml:space="preserve"> vnějšího rozměru 650x650 mm. Vnitřní rozměr výstupního otvoru 600x600 mm. Fixační mechanismus – otevření na 90° s aretací. Otevírání vpravo. Jednoduchá úprava pro otevírání vlevo. Ovládací madlo s 2 ventilačními pozicemi.</w:t>
      </w:r>
    </w:p>
    <w:p w14:paraId="6A32A2E7" w14:textId="77777777" w:rsidR="00215CCA" w:rsidRDefault="00215CCA" w:rsidP="00663EE6">
      <w:pPr>
        <w:rPr>
          <w:b/>
        </w:rPr>
      </w:pPr>
    </w:p>
    <w:p w14:paraId="478975AA" w14:textId="2E52E2B0" w:rsidR="00663EE6" w:rsidRDefault="00663EE6" w:rsidP="00663EE6">
      <w:pPr>
        <w:rPr>
          <w:b/>
        </w:rPr>
      </w:pPr>
      <w:r w:rsidRPr="00803886">
        <w:rPr>
          <w:b/>
        </w:rPr>
        <w:t xml:space="preserve">Zateplení stropu </w:t>
      </w:r>
      <w:r>
        <w:rPr>
          <w:b/>
        </w:rPr>
        <w:t>nad 1.PP:</w:t>
      </w:r>
    </w:p>
    <w:p w14:paraId="266CAFDE" w14:textId="4530B1A1" w:rsidR="00335246" w:rsidRDefault="00CA2E6F" w:rsidP="00335246">
      <w:r w:rsidRPr="002048B0">
        <w:t xml:space="preserve">Na vyčištěný a suchý strop sklepa se nanese penetrační nátěr. Po celé ploše izolační desky (minerální vata -λD = 0,041 W/(m·K)) </w:t>
      </w:r>
      <w:r w:rsidR="00B10975" w:rsidRPr="002048B0">
        <w:t xml:space="preserve">tl. 100 mm, </w:t>
      </w:r>
      <w:r w:rsidR="00AF631D" w:rsidRPr="002048B0">
        <w:t>bude naneseno lepidlo v tl. 10 mm.</w:t>
      </w:r>
      <w:r w:rsidRPr="002048B0">
        <w:t xml:space="preserve"> Čelní plochy izolačních desek zůstávají bez lepidla!</w:t>
      </w:r>
      <w:r w:rsidR="00A417F7" w:rsidRPr="002048B0">
        <w:t xml:space="preserve"> Po nalepení izolace na strop bude na izolaci naneseno lepidlo v tl. 3 mm včetně síťoviny. </w:t>
      </w:r>
      <w:r w:rsidR="00636448" w:rsidRPr="002048B0">
        <w:t>Poté</w:t>
      </w:r>
      <w:r w:rsidR="00A417F7" w:rsidRPr="002048B0">
        <w:t xml:space="preserve"> bude povrch opatřen penetračním nátěrem a 2x malbou.</w:t>
      </w:r>
    </w:p>
    <w:p w14:paraId="291F8922" w14:textId="77777777" w:rsidR="00215CCA" w:rsidRDefault="00215CCA" w:rsidP="00BE1E14">
      <w:pPr>
        <w:rPr>
          <w:b/>
        </w:rPr>
      </w:pPr>
    </w:p>
    <w:p w14:paraId="618FE433" w14:textId="06027F96" w:rsidR="00455372" w:rsidRPr="0063192D" w:rsidRDefault="00455372" w:rsidP="00455372">
      <w:pPr>
        <w:autoSpaceDE w:val="0"/>
        <w:autoSpaceDN w:val="0"/>
        <w:adjustRightInd w:val="0"/>
        <w:rPr>
          <w:rFonts w:eastAsia="SimSun"/>
          <w:b/>
          <w:lang w:eastAsia="ja-JP"/>
        </w:rPr>
      </w:pPr>
      <w:r>
        <w:rPr>
          <w:rFonts w:eastAsia="SimSun"/>
          <w:b/>
          <w:lang w:eastAsia="ja-JP"/>
        </w:rPr>
        <w:t>Sanace 1.PP</w:t>
      </w:r>
    </w:p>
    <w:p w14:paraId="6832713C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</w:rPr>
        <w:t>Z vnější strany budovy, provést celoplošné obvodové odkopání /k patě domu/ s následným očištěním podkladu na čistý, pevný soudržný podklad s proškrábnutím veškerých spár a s následným vyplněním a celoplošným vyrovnáním omítkou.</w:t>
      </w:r>
    </w:p>
    <w:p w14:paraId="722EFC89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</w:rPr>
        <w:t>Provedena bude následující skladba:</w:t>
      </w:r>
    </w:p>
    <w:p w14:paraId="0F9B09A3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Adhézní</w:t>
      </w:r>
      <w:r w:rsidRPr="00762C5B">
        <w:rPr>
          <w:rFonts w:ascii="Calibri" w:eastAsia="Times New Roman" w:hAnsi="Calibri"/>
        </w:rPr>
        <w:t xml:space="preserve"> - asfaltová penetrační emulze bez obsahu rozpouštědel. Obsah asfaltu &gt;48%. Spotřeba cca 0,1 - 0,4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kg.m-2 dle podkladu.</w:t>
      </w:r>
    </w:p>
    <w:p w14:paraId="49CD5B0D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Hydroizolační</w:t>
      </w:r>
      <w:r w:rsidRPr="00762C5B">
        <w:rPr>
          <w:rFonts w:ascii="Calibri" w:eastAsia="Times New Roman" w:hAnsi="Calibri"/>
        </w:rPr>
        <w:t xml:space="preserve"> - 1 vrstva natavitelný pás z SBS modifikovaného asfaltu, vložkou ze skleněné tkaniny o plošné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hmotnosti 200 g.m-2, na povrchu se separačním posypem. Pás splňuje podmínky SVAP dle ČSN 73 0605-1.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Odolnost proti stékání 100 °C. Ohebnost za nízkých teplot -25 °C. Součinitel difúze radonu 1,4.10-11 m2.s-1.</w:t>
      </w:r>
      <w:r>
        <w:rPr>
          <w:rFonts w:ascii="Calibri" w:eastAsia="Times New Roman" w:hAnsi="Calibri"/>
        </w:rPr>
        <w:t>, t</w:t>
      </w:r>
      <w:r w:rsidRPr="00762C5B">
        <w:rPr>
          <w:rFonts w:ascii="Calibri" w:eastAsia="Times New Roman" w:hAnsi="Calibri"/>
        </w:rPr>
        <w:t>l. 4mm.</w:t>
      </w:r>
    </w:p>
    <w:p w14:paraId="662ADB56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</w:rPr>
        <w:t>2 vrstva natavitelný pás z SBS modifikovaného asfaltu, vložkou z polyesterové rohože o plošné hmotnosti 200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g.m-2, na povrchu se separačním posypem. Pás splňuje podmínky SVAP dle ČSN 73 0605-1. Odolnost proti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stékání 100 °C. Ohebnost za nízkých teplot -25 °C. Součinitel difúze radonu 1,9.10-11 m2.s-1.</w:t>
      </w:r>
      <w:r>
        <w:rPr>
          <w:rFonts w:ascii="Calibri" w:eastAsia="Times New Roman" w:hAnsi="Calibri"/>
        </w:rPr>
        <w:t>,</w:t>
      </w:r>
      <w:r w:rsidRPr="00762C5B">
        <w:rPr>
          <w:rFonts w:ascii="Calibri" w:eastAsia="Times New Roman" w:hAnsi="Calibri"/>
        </w:rPr>
        <w:t xml:space="preserve"> </w:t>
      </w:r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l. 4 mm.</w:t>
      </w:r>
    </w:p>
    <w:p w14:paraId="152D5560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Lepicí</w:t>
      </w:r>
      <w:r w:rsidRPr="00762C5B">
        <w:rPr>
          <w:rFonts w:ascii="Calibri" w:eastAsia="Times New Roman" w:hAnsi="Calibri"/>
        </w:rPr>
        <w:t xml:space="preserve"> - jednosložková asfaltová stěrka modifikovaná, tl. 3 mm.</w:t>
      </w:r>
    </w:p>
    <w:p w14:paraId="07310345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Tepelně izolační</w:t>
      </w:r>
      <w:r w:rsidRPr="00762C5B">
        <w:rPr>
          <w:rFonts w:ascii="Calibri" w:eastAsia="Times New Roman" w:hAnsi="Calibri"/>
        </w:rPr>
        <w:t xml:space="preserve"> - desky z pěnového polystyrenu s uzavřenou povrchovou strukturou. Pevnost v tlaku při 10 %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>deformaci 150 kPa. Deklarovaná hodnota součinitele tepelné vodivosti 0,035 W.m-1.K-1. Dlouhodobá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 xml:space="preserve">nasákavost ≤3 % objemu. Třída reakce na oheň E. </w:t>
      </w:r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l. 100mm.</w:t>
      </w:r>
    </w:p>
    <w:p w14:paraId="7E5714CD" w14:textId="77777777" w:rsidR="00455372" w:rsidRPr="00762C5B" w:rsidRDefault="00455372" w:rsidP="00455372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Drenážní</w:t>
      </w:r>
      <w:r w:rsidRPr="00762C5B">
        <w:rPr>
          <w:rFonts w:ascii="Calibri" w:eastAsia="Times New Roman" w:hAnsi="Calibri"/>
        </w:rPr>
        <w:t xml:space="preserve"> - profilovaná fólie z vysokohustotního polyethylenu (HDPE) s nakašírovanou netkanou polyesterovou</w:t>
      </w:r>
      <w:r>
        <w:rPr>
          <w:rFonts w:ascii="Calibri" w:eastAsia="Times New Roman" w:hAnsi="Calibri"/>
        </w:rPr>
        <w:t xml:space="preserve"> </w:t>
      </w:r>
      <w:r w:rsidRPr="00762C5B">
        <w:rPr>
          <w:rFonts w:ascii="Calibri" w:eastAsia="Times New Roman" w:hAnsi="Calibri"/>
        </w:rPr>
        <w:t xml:space="preserve">textilií. Pevnost v tlaku 150 kN.m-2. Plošná hmotnost 450 g.m-2. Objem vzduchu mezi nopy 5,3 l.m-2. </w:t>
      </w:r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l. 8mm.</w:t>
      </w:r>
    </w:p>
    <w:p w14:paraId="64089EF3" w14:textId="51225D57" w:rsidR="002463EF" w:rsidRPr="007E0AF9" w:rsidRDefault="00455372" w:rsidP="007E0AF9">
      <w:pPr>
        <w:rPr>
          <w:rFonts w:ascii="Calibri" w:eastAsia="Times New Roman" w:hAnsi="Calibri"/>
        </w:rPr>
      </w:pPr>
      <w:r w:rsidRPr="00762C5B">
        <w:rPr>
          <w:rFonts w:ascii="Calibri" w:eastAsia="Times New Roman" w:hAnsi="Calibri"/>
          <w:i/>
          <w:iCs/>
        </w:rPr>
        <w:t>Separační</w:t>
      </w:r>
      <w:r w:rsidRPr="00762C5B">
        <w:rPr>
          <w:rFonts w:ascii="Calibri" w:eastAsia="Times New Roman" w:hAnsi="Calibri"/>
        </w:rPr>
        <w:t xml:space="preserve"> - netkaná textilie z polypropylenových vláken o plošné hmotnosti 300 g.m-2, jednostranně tavená. </w:t>
      </w:r>
      <w:r>
        <w:rPr>
          <w:rFonts w:ascii="Calibri" w:eastAsia="Times New Roman" w:hAnsi="Calibri"/>
        </w:rPr>
        <w:t>t</w:t>
      </w:r>
      <w:r w:rsidRPr="00762C5B">
        <w:rPr>
          <w:rFonts w:ascii="Calibri" w:eastAsia="Times New Roman" w:hAnsi="Calibri"/>
        </w:rPr>
        <w:t>l. 2,9mm.</w:t>
      </w:r>
    </w:p>
    <w:p w14:paraId="566D45CE" w14:textId="77777777" w:rsidR="00CC69D9" w:rsidRDefault="00CC69D9" w:rsidP="001357EB"/>
    <w:p w14:paraId="0856786D" w14:textId="71DCF5A7" w:rsidR="00FA4D70" w:rsidRDefault="004F7B4C" w:rsidP="006F747F">
      <w:pPr>
        <w:pStyle w:val="Nadpis2"/>
      </w:pPr>
      <w:bookmarkStart w:id="35" w:name="_Toc49776158"/>
      <w:r>
        <w:t>3.</w:t>
      </w:r>
      <w:r w:rsidR="00053A15">
        <w:t>4</w:t>
      </w:r>
      <w:r>
        <w:t>.</w:t>
      </w:r>
      <w:r>
        <w:tab/>
      </w:r>
      <w:r w:rsidR="00CD500E" w:rsidRPr="00824E91">
        <w:t>Malby</w:t>
      </w:r>
      <w:bookmarkEnd w:id="35"/>
    </w:p>
    <w:p w14:paraId="44C8EF25" w14:textId="77777777" w:rsidR="006F747F" w:rsidRPr="00FA4D70" w:rsidRDefault="006F747F" w:rsidP="006F747F">
      <w:pPr>
        <w:pStyle w:val="Nadpis2"/>
      </w:pPr>
    </w:p>
    <w:p w14:paraId="04010C8B" w14:textId="4B10F09A" w:rsidR="00BD2823" w:rsidRDefault="00D84030" w:rsidP="00FA4D70">
      <w:r>
        <w:t xml:space="preserve">Strop </w:t>
      </w:r>
      <w:r w:rsidR="00824E91">
        <w:t xml:space="preserve">sklepa </w:t>
      </w:r>
      <w:r w:rsidR="00CD500E">
        <w:t>bud</w:t>
      </w:r>
      <w:r>
        <w:t>e po zateplení</w:t>
      </w:r>
      <w:r w:rsidR="00CD500E">
        <w:t xml:space="preserve"> nově vymalován</w:t>
      </w:r>
      <w:r w:rsidR="00AC3414">
        <w:t xml:space="preserve"> </w:t>
      </w:r>
      <w:r>
        <w:t xml:space="preserve">(2x výmalba prodyšná) </w:t>
      </w:r>
      <w:r w:rsidR="00BD2823">
        <w:t>– barva bílá</w:t>
      </w:r>
      <w:r w:rsidR="00CD500E">
        <w:t xml:space="preserve">. </w:t>
      </w:r>
    </w:p>
    <w:p w14:paraId="22F1E8F3" w14:textId="36D17975" w:rsidR="0069003F" w:rsidRDefault="0069003F" w:rsidP="00FA4D70"/>
    <w:p w14:paraId="1D2D5DCA" w14:textId="77777777" w:rsidR="00CC69D9" w:rsidRDefault="00CC69D9" w:rsidP="00FA4D70"/>
    <w:p w14:paraId="6D7AC0BC" w14:textId="6B8B326F" w:rsidR="00CD500E" w:rsidRDefault="004F7B4C" w:rsidP="006F747F">
      <w:pPr>
        <w:pStyle w:val="Nadpis2"/>
      </w:pPr>
      <w:bookmarkStart w:id="36" w:name="_Toc49776159"/>
      <w:r w:rsidRPr="006E50F5">
        <w:t>3.</w:t>
      </w:r>
      <w:r w:rsidR="00053A15">
        <w:t>5</w:t>
      </w:r>
      <w:r w:rsidRPr="006E50F5">
        <w:t>.</w:t>
      </w:r>
      <w:r w:rsidRPr="006E50F5">
        <w:tab/>
      </w:r>
      <w:r w:rsidR="00CD500E" w:rsidRPr="006E50F5">
        <w:t>Klempířské prvky</w:t>
      </w:r>
      <w:bookmarkEnd w:id="36"/>
    </w:p>
    <w:p w14:paraId="561ABDEA" w14:textId="77777777" w:rsidR="006F747F" w:rsidRPr="006E50F5" w:rsidRDefault="006F747F" w:rsidP="006F747F">
      <w:pPr>
        <w:pStyle w:val="Nadpis2"/>
      </w:pPr>
    </w:p>
    <w:p w14:paraId="64641DB5" w14:textId="71E0190D" w:rsidR="00B77AE6" w:rsidRDefault="00B77AE6" w:rsidP="00B77AE6">
      <w:r w:rsidRPr="00814BB1">
        <w:t>Nově bude provedeno oplechování venkovních p</w:t>
      </w:r>
      <w:r>
        <w:t xml:space="preserve">arapetů okenních otvorů a vchodové stříšky pomocí ocelových pozinkovaných plechů </w:t>
      </w:r>
      <w:r w:rsidRPr="00814BB1">
        <w:t>s povrc</w:t>
      </w:r>
      <w:r>
        <w:t xml:space="preserve">hovou úpravou </w:t>
      </w:r>
      <w:r w:rsidRPr="00814BB1">
        <w:t xml:space="preserve">kvalitním polyesterovým lakem – odstín dle výběru investora. Parapety budou lepeny pomocí lepidla. </w:t>
      </w:r>
      <w:r>
        <w:t xml:space="preserve">Provedení nových </w:t>
      </w:r>
      <w:r w:rsidRPr="00C23257">
        <w:t xml:space="preserve">svislých svodů </w:t>
      </w:r>
      <w:r w:rsidR="00BD5157">
        <w:t xml:space="preserve">a okapů </w:t>
      </w:r>
      <w:r>
        <w:t xml:space="preserve">z ocelových pozinkovaných plechů </w:t>
      </w:r>
      <w:r w:rsidRPr="00814BB1">
        <w:t>s povrc</w:t>
      </w:r>
      <w:r>
        <w:t xml:space="preserve">hovou úpravou </w:t>
      </w:r>
      <w:r w:rsidRPr="00814BB1">
        <w:t>kvalitním polyesterovým lakem</w:t>
      </w:r>
      <w:r w:rsidRPr="00C23257">
        <w:t xml:space="preserve"> včetně </w:t>
      </w:r>
      <w:r>
        <w:t>napojení</w:t>
      </w:r>
      <w:r w:rsidRPr="00C23257">
        <w:t xml:space="preserve"> na</w:t>
      </w:r>
      <w:r>
        <w:t xml:space="preserve"> nové</w:t>
      </w:r>
      <w:r w:rsidRPr="00C23257">
        <w:t xml:space="preserve"> G</w:t>
      </w:r>
      <w:r w:rsidR="00732B43">
        <w:t>aj</w:t>
      </w:r>
      <w:r w:rsidRPr="00C23257">
        <w:t>gry</w:t>
      </w:r>
      <w:r>
        <w:t>.</w:t>
      </w:r>
    </w:p>
    <w:p w14:paraId="2F8EB319" w14:textId="2E56A842" w:rsidR="0069003F" w:rsidRDefault="0069003F" w:rsidP="00FA4D70"/>
    <w:p w14:paraId="4D81B2C9" w14:textId="77777777" w:rsidR="00305F1D" w:rsidRDefault="00305F1D" w:rsidP="00FA4D70"/>
    <w:p w14:paraId="0114C8A5" w14:textId="08C4FB26" w:rsidR="00FA4D70" w:rsidRDefault="004F7B4C" w:rsidP="006F747F">
      <w:pPr>
        <w:pStyle w:val="Nadpis2"/>
      </w:pPr>
      <w:bookmarkStart w:id="37" w:name="_Toc454361900"/>
      <w:bookmarkStart w:id="38" w:name="_Toc49776160"/>
      <w:r>
        <w:t>3.</w:t>
      </w:r>
      <w:r w:rsidR="00053A15">
        <w:t>6</w:t>
      </w:r>
      <w:r>
        <w:t>.</w:t>
      </w:r>
      <w:r>
        <w:tab/>
      </w:r>
      <w:r w:rsidR="00224027">
        <w:t>D</w:t>
      </w:r>
      <w:r w:rsidR="00FA4D70" w:rsidRPr="00FA4D70">
        <w:t>okončovací práce</w:t>
      </w:r>
      <w:bookmarkEnd w:id="37"/>
      <w:bookmarkEnd w:id="38"/>
    </w:p>
    <w:p w14:paraId="07E398EF" w14:textId="77777777" w:rsidR="006F747F" w:rsidRPr="00FA4D70" w:rsidRDefault="006F747F" w:rsidP="006F747F">
      <w:pPr>
        <w:pStyle w:val="Nadpis2"/>
      </w:pPr>
    </w:p>
    <w:p w14:paraId="2D9355D2" w14:textId="1201FE3C" w:rsidR="00FA4D70" w:rsidRDefault="00C26E8D" w:rsidP="00F31D29">
      <w:r>
        <w:rPr>
          <w:b/>
        </w:rPr>
        <w:t>B</w:t>
      </w:r>
      <w:r w:rsidR="00700AB2" w:rsidRPr="00700AB2">
        <w:rPr>
          <w:b/>
        </w:rPr>
        <w:t>leskosvod</w:t>
      </w:r>
      <w:r w:rsidR="00700AB2">
        <w:t xml:space="preserve"> - </w:t>
      </w:r>
      <w:r w:rsidR="00965BA5">
        <w:t>p</w:t>
      </w:r>
      <w:r w:rsidR="00FA4D70" w:rsidRPr="00FA4D70">
        <w:t xml:space="preserve">rovede se </w:t>
      </w:r>
      <w:r w:rsidR="00513DB6">
        <w:t>dle projektu elektro</w:t>
      </w:r>
      <w:r w:rsidR="00580A15">
        <w:t xml:space="preserve"> montáž lan</w:t>
      </w:r>
      <w:r w:rsidR="00005321">
        <w:t xml:space="preserve"> a</w:t>
      </w:r>
      <w:r w:rsidR="00580A15">
        <w:t xml:space="preserve"> </w:t>
      </w:r>
      <w:r w:rsidR="00FA4D70" w:rsidRPr="00FA4D70">
        <w:t>revize hromosvodů dle ČSN EN 62</w:t>
      </w:r>
      <w:r w:rsidR="00224027">
        <w:t> </w:t>
      </w:r>
      <w:r w:rsidR="00FA4D70" w:rsidRPr="00FA4D70">
        <w:t>305.</w:t>
      </w:r>
      <w:r w:rsidR="00E17592">
        <w:t xml:space="preserve"> </w:t>
      </w:r>
    </w:p>
    <w:p w14:paraId="08501336" w14:textId="0249EF00" w:rsidR="00761DF9" w:rsidRDefault="00761DF9" w:rsidP="00F31D29">
      <w:r>
        <w:rPr>
          <w:b/>
        </w:rPr>
        <w:t xml:space="preserve">Okapový chodník - </w:t>
      </w:r>
      <w:r>
        <w:t>k</w:t>
      </w:r>
      <w:r w:rsidRPr="00700AB2">
        <w:t xml:space="preserve">olem </w:t>
      </w:r>
      <w:r w:rsidR="00DC152A">
        <w:t>bytového domu</w:t>
      </w:r>
      <w:r w:rsidRPr="00700AB2">
        <w:t xml:space="preserve"> bude osazen nový oka</w:t>
      </w:r>
      <w:r>
        <w:t xml:space="preserve">pový chodník z betonové dlažby </w:t>
      </w:r>
      <w:r w:rsidR="001E4B3D">
        <w:t>5</w:t>
      </w:r>
      <w:r>
        <w:t>00x</w:t>
      </w:r>
      <w:r w:rsidR="001E4B3D">
        <w:t>5</w:t>
      </w:r>
      <w:r w:rsidRPr="00700AB2">
        <w:t xml:space="preserve">00mm. </w:t>
      </w:r>
      <w:r>
        <w:t xml:space="preserve">Budou použity </w:t>
      </w:r>
      <w:r w:rsidR="00005321">
        <w:t>nové</w:t>
      </w:r>
      <w:r>
        <w:t xml:space="preserve"> betonové dlaždice</w:t>
      </w:r>
      <w:r w:rsidR="00513DB6">
        <w:t>, včetně nové podkladní vrstvy</w:t>
      </w:r>
      <w:r>
        <w:t>.</w:t>
      </w:r>
    </w:p>
    <w:p w14:paraId="5AE58CDE" w14:textId="45A404BC" w:rsidR="00761DF9" w:rsidRDefault="00761DF9" w:rsidP="00F31D29">
      <w:r>
        <w:rPr>
          <w:b/>
        </w:rPr>
        <w:t xml:space="preserve">Terénní úpravy – </w:t>
      </w:r>
      <w:r>
        <w:t xml:space="preserve">po demontáži lešení bude provedeno vyčištění travnaté plochy od zbytku suti a bude na </w:t>
      </w:r>
      <w:r w:rsidR="00185795">
        <w:t>poškozených místech</w:t>
      </w:r>
      <w:r>
        <w:t xml:space="preserve"> osazen nový travní porost. Předpoklad </w:t>
      </w:r>
      <w:r w:rsidR="008B0B73">
        <w:t>2</w:t>
      </w:r>
      <w:r w:rsidR="00D16F09">
        <w:t>00</w:t>
      </w:r>
      <w:r>
        <w:t xml:space="preserve"> m</w:t>
      </w:r>
      <w:r w:rsidR="00DC152A">
        <w:rPr>
          <w:vertAlign w:val="superscript"/>
        </w:rPr>
        <w:t>2</w:t>
      </w:r>
      <w:r>
        <w:t>.</w:t>
      </w:r>
    </w:p>
    <w:p w14:paraId="7AE9D23F" w14:textId="4DCCCD2E" w:rsidR="0011618D" w:rsidRDefault="0011618D" w:rsidP="00700AB2">
      <w:pPr>
        <w:spacing w:after="120"/>
      </w:pPr>
    </w:p>
    <w:p w14:paraId="44E8359A" w14:textId="77777777" w:rsidR="00305F1D" w:rsidRDefault="00305F1D" w:rsidP="00700AB2">
      <w:pPr>
        <w:spacing w:after="120"/>
      </w:pPr>
    </w:p>
    <w:p w14:paraId="335A0773" w14:textId="424582ED" w:rsidR="00FA4D70" w:rsidRPr="006940D9" w:rsidRDefault="008E6166" w:rsidP="00D67418">
      <w:pPr>
        <w:numPr>
          <w:ilvl w:val="0"/>
          <w:numId w:val="7"/>
        </w:numPr>
        <w:pBdr>
          <w:bottom w:val="single" w:sz="4" w:space="1" w:color="auto"/>
        </w:pBdr>
        <w:tabs>
          <w:tab w:val="left" w:pos="851"/>
        </w:tabs>
        <w:spacing w:before="160"/>
        <w:ind w:left="714" w:hanging="714"/>
        <w:outlineLvl w:val="0"/>
        <w:rPr>
          <w:rFonts w:ascii="Calibri Light" w:hAnsi="Calibri Light"/>
          <w:b/>
          <w:sz w:val="28"/>
          <w:szCs w:val="32"/>
        </w:rPr>
      </w:pPr>
      <w:bookmarkStart w:id="39" w:name="_Toc454361903"/>
      <w:bookmarkStart w:id="40" w:name="_Toc49776161"/>
      <w:r w:rsidRPr="006940D9">
        <w:rPr>
          <w:rFonts w:ascii="Calibri Light" w:hAnsi="Calibri Light"/>
          <w:b/>
          <w:sz w:val="28"/>
          <w:szCs w:val="32"/>
        </w:rPr>
        <w:t>V</w:t>
      </w:r>
      <w:r w:rsidR="00FA4D70" w:rsidRPr="006940D9">
        <w:rPr>
          <w:rFonts w:ascii="Calibri Light" w:hAnsi="Calibri Light"/>
          <w:b/>
          <w:sz w:val="28"/>
          <w:szCs w:val="32"/>
        </w:rPr>
        <w:t>liv objektu a jeho užívání na životní prostředí a řešení případných negativních účinků</w:t>
      </w:r>
      <w:bookmarkEnd w:id="39"/>
      <w:bookmarkEnd w:id="40"/>
    </w:p>
    <w:p w14:paraId="1FDCA8B6" w14:textId="03DFC2C4" w:rsidR="00416FF0" w:rsidRDefault="00416FF0" w:rsidP="00416FF0">
      <w:r>
        <w:t>Provozem objektu bude vznikat pouze standardní množství klasického komunálního odpadu. Jeho likvidaci bude zajišťovat odborná firma zaj</w:t>
      </w:r>
      <w:r w:rsidR="00B417C3">
        <w:t xml:space="preserve">ištěná provozovatelem objektu. </w:t>
      </w:r>
      <w:r>
        <w:t xml:space="preserve">Stavba nemá výraznější negativní vliv na životní prostředí. Při dodržení bezpečnostních opatření, platných vyhlášek a norem nebude během realizace výrazně narušeno životní prostředí.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prováděny práce nehlučné pro okolí. </w:t>
      </w:r>
    </w:p>
    <w:p w14:paraId="0863F11A" w14:textId="32C4930F" w:rsidR="002B2B82" w:rsidRDefault="00416FF0" w:rsidP="00B417C3">
      <w:pPr>
        <w:spacing w:before="120"/>
      </w:pPr>
      <w:r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sklo, asfaltové lepenky neobsahující dehet a malé množství obalových materiálů.</w:t>
      </w:r>
      <w:r w:rsidR="00B417C3">
        <w:t xml:space="preserve"> </w:t>
      </w:r>
      <w: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  <w:r w:rsidR="00B417C3">
        <w:t xml:space="preserve"> </w:t>
      </w:r>
      <w:r>
        <w:t>Všechny odpady musí být v průběhu stavebních prací uloženy, zabezpečeny a přepravovány tak, aby neznečišťovaly staveniště ani jeho okolí.</w:t>
      </w:r>
    </w:p>
    <w:p w14:paraId="2E39FB1F" w14:textId="77777777" w:rsidR="00E2590D" w:rsidRPr="00E2590D" w:rsidRDefault="00E2590D" w:rsidP="008C3CDF">
      <w:pPr>
        <w:pStyle w:val="Nadpis1"/>
        <w:rPr>
          <w:b w:val="0"/>
          <w:vanish/>
          <w:color w:val="00B050"/>
          <w:szCs w:val="28"/>
        </w:rPr>
      </w:pPr>
      <w:bookmarkStart w:id="41" w:name="_Toc490468469"/>
      <w:bookmarkStart w:id="42" w:name="_Toc490470308"/>
      <w:bookmarkStart w:id="43" w:name="_Toc511122273"/>
      <w:bookmarkStart w:id="44" w:name="_Toc511196952"/>
      <w:bookmarkStart w:id="45" w:name="_Toc511199811"/>
      <w:bookmarkStart w:id="46" w:name="_Toc511221043"/>
      <w:bookmarkStart w:id="47" w:name="_Toc515949915"/>
      <w:bookmarkStart w:id="48" w:name="_Toc515967121"/>
      <w:bookmarkStart w:id="49" w:name="_Toc515970053"/>
      <w:bookmarkStart w:id="50" w:name="_Toc516825960"/>
      <w:bookmarkStart w:id="51" w:name="_Toc516834328"/>
      <w:bookmarkStart w:id="52" w:name="_Toc516834729"/>
      <w:bookmarkStart w:id="53" w:name="_Toc518567208"/>
      <w:bookmarkStart w:id="54" w:name="_Toc518567449"/>
      <w:bookmarkStart w:id="55" w:name="_Toc520379254"/>
      <w:bookmarkStart w:id="56" w:name="_Toc520379354"/>
      <w:bookmarkStart w:id="57" w:name="_Toc520710283"/>
      <w:bookmarkStart w:id="58" w:name="_Toc520711386"/>
      <w:bookmarkStart w:id="59" w:name="_Toc520733387"/>
      <w:bookmarkStart w:id="60" w:name="_Toc521960554"/>
      <w:bookmarkStart w:id="61" w:name="_Toc521960745"/>
      <w:bookmarkStart w:id="62" w:name="_Toc521960769"/>
      <w:bookmarkStart w:id="63" w:name="_Toc524477173"/>
      <w:bookmarkStart w:id="64" w:name="_Toc524477197"/>
      <w:bookmarkStart w:id="65" w:name="_Toc49514748"/>
      <w:bookmarkStart w:id="66" w:name="_Toc49776082"/>
      <w:bookmarkStart w:id="67" w:name="_Toc49776162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55028406" w14:textId="56C754D8" w:rsidR="00624E03" w:rsidRPr="001370F9" w:rsidRDefault="001370F9" w:rsidP="001370F9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bookmarkStart w:id="68" w:name="_Toc484435050"/>
      <w:bookmarkStart w:id="69" w:name="_Toc507741678"/>
      <w:bookmarkStart w:id="70" w:name="_Toc49776163"/>
      <w:bookmarkStart w:id="71" w:name="_Toc454361906"/>
      <w:r>
        <w:rPr>
          <w:rFonts w:ascii="Calibri Light" w:hAnsi="Calibri Light"/>
          <w:b/>
          <w:sz w:val="28"/>
          <w:szCs w:val="32"/>
        </w:rPr>
        <w:t xml:space="preserve">5. </w:t>
      </w:r>
      <w:r w:rsidR="004319D6">
        <w:rPr>
          <w:rFonts w:ascii="Calibri Light" w:hAnsi="Calibri Light"/>
          <w:b/>
          <w:sz w:val="28"/>
          <w:szCs w:val="32"/>
        </w:rPr>
        <w:tab/>
      </w:r>
      <w:r w:rsidR="00624E03" w:rsidRPr="001370F9">
        <w:rPr>
          <w:rFonts w:ascii="Calibri Light" w:hAnsi="Calibri Light"/>
          <w:b/>
          <w:sz w:val="28"/>
          <w:szCs w:val="32"/>
        </w:rPr>
        <w:t>Použité normy</w:t>
      </w:r>
      <w:bookmarkEnd w:id="68"/>
      <w:bookmarkEnd w:id="69"/>
      <w:bookmarkEnd w:id="70"/>
    </w:p>
    <w:p w14:paraId="5C8FB3A5" w14:textId="77777777" w:rsidR="00624E03" w:rsidRPr="00A871E5" w:rsidRDefault="00624E03" w:rsidP="00624E03">
      <w:pPr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Při výstavbě je nutné dodržet platné normy ČSN a platné právní předpisy ČR (Vyhlášky, Zákony a Nařízení). Jedná se především o:</w:t>
      </w:r>
    </w:p>
    <w:p w14:paraId="0FEB9623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2000-1 ed.2</w:t>
      </w:r>
      <w:r w:rsidRPr="00A871E5">
        <w:rPr>
          <w:rFonts w:eastAsia="Times New Roman" w:cstheme="minorHAnsi"/>
          <w:szCs w:val="22"/>
        </w:rPr>
        <w:tab/>
        <w:t>Elektrické instalace nízkého napětí - Základní hlediska, stanovení základních charakteristik, definice</w:t>
      </w:r>
    </w:p>
    <w:p w14:paraId="5BEB845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2000–4–41ed.2</w:t>
      </w:r>
      <w:r w:rsidRPr="00A871E5">
        <w:rPr>
          <w:rFonts w:eastAsia="Times New Roman" w:cstheme="minorHAnsi"/>
          <w:szCs w:val="22"/>
        </w:rPr>
        <w:tab/>
        <w:t>Elektrotechnické předpisy – ochrana před úrazem elektrickým proudem.</w:t>
      </w:r>
    </w:p>
    <w:p w14:paraId="754116A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2000–4–42ed.2</w:t>
      </w:r>
      <w:r w:rsidRPr="00A871E5">
        <w:rPr>
          <w:rFonts w:eastAsia="Times New Roman" w:cstheme="minorHAnsi"/>
          <w:szCs w:val="22"/>
        </w:rPr>
        <w:tab/>
        <w:t>Elektrotechnické předpisy – ochrana před účinky tepla.</w:t>
      </w:r>
    </w:p>
    <w:p w14:paraId="5D1014E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2000–4–43ed.2</w:t>
      </w:r>
      <w:r w:rsidRPr="00A871E5">
        <w:rPr>
          <w:rFonts w:eastAsia="Times New Roman" w:cstheme="minorHAnsi"/>
          <w:szCs w:val="22"/>
        </w:rPr>
        <w:tab/>
        <w:t>Elektrotechnické předpisy – ochrana proti nadproudům.</w:t>
      </w:r>
    </w:p>
    <w:p w14:paraId="4CFFFB40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2000–4–444</w:t>
      </w:r>
      <w:r w:rsidRPr="00A871E5">
        <w:rPr>
          <w:rFonts w:eastAsia="Times New Roman" w:cstheme="minorHAnsi"/>
          <w:szCs w:val="22"/>
        </w:rPr>
        <w:tab/>
        <w:t>Elektrotechnické předpisy – Ochrana před napěťovým a elektromagnetickým rušením</w:t>
      </w:r>
    </w:p>
    <w:p w14:paraId="1356ABB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2000–4–473</w:t>
      </w:r>
      <w:r w:rsidRPr="00A871E5">
        <w:rPr>
          <w:rFonts w:eastAsia="Times New Roman" w:cstheme="minorHAnsi"/>
          <w:szCs w:val="22"/>
        </w:rPr>
        <w:tab/>
        <w:t>Elektrotechnické předpisy – Opatření k ochraně proti nadproudům</w:t>
      </w:r>
    </w:p>
    <w:p w14:paraId="7F05EFF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2000–5–51ed.3</w:t>
      </w:r>
      <w:r w:rsidRPr="00A871E5">
        <w:rPr>
          <w:rFonts w:eastAsia="Times New Roman" w:cstheme="minorHAnsi"/>
          <w:szCs w:val="22"/>
        </w:rPr>
        <w:tab/>
        <w:t>Elektrické instalace nízkého napětí – Všeobecné předpisy.</w:t>
      </w:r>
    </w:p>
    <w:p w14:paraId="21D456F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2000–5–52ed.2</w:t>
      </w:r>
      <w:r w:rsidRPr="00A871E5">
        <w:rPr>
          <w:rFonts w:eastAsia="Times New Roman" w:cstheme="minorHAnsi"/>
          <w:szCs w:val="22"/>
        </w:rPr>
        <w:tab/>
        <w:t>Elektrické instalace nízkého napětí – Elektrická vedení.</w:t>
      </w:r>
    </w:p>
    <w:p w14:paraId="6A19E37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2000–5–534</w:t>
      </w:r>
      <w:r w:rsidRPr="00A871E5">
        <w:rPr>
          <w:rFonts w:eastAsia="Times New Roman" w:cstheme="minorHAnsi"/>
          <w:szCs w:val="22"/>
        </w:rPr>
        <w:tab/>
        <w:t>Elektrické instalace nízkého napětí – Přepěťová ochranná zařízení.</w:t>
      </w:r>
    </w:p>
    <w:p w14:paraId="7E38A8A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2000–5–537</w:t>
      </w:r>
      <w:r w:rsidRPr="00A871E5">
        <w:rPr>
          <w:rFonts w:eastAsia="Times New Roman" w:cstheme="minorHAnsi"/>
          <w:szCs w:val="22"/>
        </w:rPr>
        <w:tab/>
        <w:t>Elektrické instalace nízkého napětí – Přístroje pro odpojování a spínání.</w:t>
      </w:r>
    </w:p>
    <w:p w14:paraId="5EAB90C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2000–5–54ed.3</w:t>
      </w:r>
      <w:r w:rsidRPr="00A871E5">
        <w:rPr>
          <w:rFonts w:eastAsia="Times New Roman" w:cstheme="minorHAnsi"/>
          <w:szCs w:val="22"/>
        </w:rPr>
        <w:tab/>
        <w:t>Elektrické instalace nízkého napětí – uzemnění a ochranné vodiče.</w:t>
      </w:r>
    </w:p>
    <w:p w14:paraId="76DEB28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2000–5–559ed.2</w:t>
      </w:r>
      <w:r w:rsidRPr="00A871E5">
        <w:rPr>
          <w:rFonts w:eastAsia="Times New Roman" w:cstheme="minorHAnsi"/>
          <w:szCs w:val="22"/>
        </w:rPr>
        <w:tab/>
        <w:t>Elektrické instalace nízkého napětí – Svítidla a světelná instalace.</w:t>
      </w:r>
    </w:p>
    <w:p w14:paraId="5872FB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2000–5–56ed.2</w:t>
      </w:r>
      <w:r w:rsidRPr="00A871E5">
        <w:rPr>
          <w:rFonts w:eastAsia="Times New Roman" w:cstheme="minorHAnsi"/>
          <w:szCs w:val="22"/>
        </w:rPr>
        <w:tab/>
        <w:t>Elektrické instalace nízkého napětí – Zařízení pro bezpečnostní účely.</w:t>
      </w:r>
    </w:p>
    <w:p w14:paraId="4E1D677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2000–6</w:t>
      </w:r>
      <w:r w:rsidRPr="00A871E5">
        <w:rPr>
          <w:rFonts w:eastAsia="Times New Roman" w:cstheme="minorHAnsi"/>
          <w:szCs w:val="22"/>
        </w:rPr>
        <w:tab/>
        <w:t>Elektrické instalace nízkého napětí - Revize</w:t>
      </w:r>
    </w:p>
    <w:p w14:paraId="591645C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2000–7–701ed.2</w:t>
      </w:r>
      <w:r w:rsidRPr="00A871E5">
        <w:rPr>
          <w:rFonts w:eastAsia="Times New Roman" w:cstheme="minorHAnsi"/>
          <w:szCs w:val="22"/>
        </w:rPr>
        <w:tab/>
        <w:t>Elektrické instalace nízkého napětí – Prostory s vanou nebo sprchou.</w:t>
      </w:r>
    </w:p>
    <w:p w14:paraId="468084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2130ed.2</w:t>
      </w:r>
      <w:r w:rsidRPr="00A871E5">
        <w:rPr>
          <w:rFonts w:eastAsia="Times New Roman" w:cstheme="minorHAnsi"/>
          <w:szCs w:val="22"/>
        </w:rPr>
        <w:tab/>
        <w:t>Elektrické instalace nízkého napětí – vnitřní elektrické rozvody.</w:t>
      </w:r>
    </w:p>
    <w:p w14:paraId="4B6B7AC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EN 62 305-1ed.2</w:t>
      </w:r>
      <w:r w:rsidRPr="00A871E5">
        <w:rPr>
          <w:rFonts w:eastAsia="Times New Roman" w:cstheme="minorHAnsi"/>
          <w:szCs w:val="22"/>
        </w:rPr>
        <w:tab/>
        <w:t>Ochrana před bleskem - Obecné principy</w:t>
      </w:r>
    </w:p>
    <w:p w14:paraId="75513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EN 62 305-2ed.2</w:t>
      </w:r>
      <w:r w:rsidRPr="00A871E5">
        <w:rPr>
          <w:rFonts w:eastAsia="Times New Roman" w:cstheme="minorHAnsi"/>
          <w:szCs w:val="22"/>
        </w:rPr>
        <w:tab/>
        <w:t>Ochrana před bleskem - Řízení rizika</w:t>
      </w:r>
    </w:p>
    <w:p w14:paraId="48FE790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EN 62 305-3ed.2</w:t>
      </w:r>
      <w:r w:rsidRPr="00A871E5">
        <w:rPr>
          <w:rFonts w:eastAsia="Times New Roman" w:cstheme="minorHAnsi"/>
          <w:szCs w:val="22"/>
        </w:rPr>
        <w:tab/>
        <w:t>Ochrana před bleskem - Hmotné škody na stavbách a ohrožení života</w:t>
      </w:r>
    </w:p>
    <w:p w14:paraId="6575E5D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EN 62 305-4ed.2</w:t>
      </w:r>
      <w:r w:rsidRPr="00A871E5">
        <w:rPr>
          <w:rFonts w:eastAsia="Times New Roman" w:cstheme="minorHAnsi"/>
          <w:szCs w:val="22"/>
        </w:rPr>
        <w:tab/>
        <w:t>Ochrana před bleskem - Elektrické a elektronické systémy ve stavbách</w:t>
      </w:r>
    </w:p>
    <w:p w14:paraId="77007E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1310ed.2</w:t>
      </w:r>
      <w:r w:rsidRPr="00A871E5">
        <w:rPr>
          <w:rFonts w:eastAsia="Times New Roman" w:cstheme="minorHAnsi"/>
          <w:szCs w:val="22"/>
        </w:rPr>
        <w:tab/>
        <w:t>Bezpečnostní požadavky na elektrické instalace a spotřebiče určené k užívání osobami bez elektrotechnické kvalifikace</w:t>
      </w:r>
    </w:p>
    <w:p w14:paraId="68F50F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1500 </w:t>
      </w:r>
      <w:r w:rsidRPr="00A871E5">
        <w:rPr>
          <w:rFonts w:eastAsia="Times New Roman" w:cstheme="minorHAnsi"/>
          <w:szCs w:val="22"/>
        </w:rPr>
        <w:tab/>
        <w:t>Elektrotechnické předpisy. Revize elektrických zařízení</w:t>
      </w:r>
    </w:p>
    <w:p w14:paraId="1C60F0F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33 2030 </w:t>
      </w:r>
      <w:r w:rsidRPr="00A871E5">
        <w:rPr>
          <w:rFonts w:eastAsia="Times New Roman" w:cstheme="minorHAnsi"/>
          <w:szCs w:val="22"/>
        </w:rPr>
        <w:tab/>
        <w:t>Elektrostatika - Směrnice pro vyloučení nebezpečí od statické elektřiny</w:t>
      </w:r>
    </w:p>
    <w:p w14:paraId="4E097F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3060</w:t>
      </w:r>
      <w:r w:rsidRPr="00A871E5">
        <w:rPr>
          <w:rFonts w:eastAsia="Times New Roman" w:cstheme="minorHAnsi"/>
          <w:szCs w:val="22"/>
        </w:rPr>
        <w:tab/>
        <w:t>Elektrotechnické předpisy. Ochrana elektrických zařízení před přepětím</w:t>
      </w:r>
    </w:p>
    <w:p w14:paraId="5D63078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EN 50110-1ed. 2</w:t>
      </w:r>
      <w:r w:rsidRPr="00A871E5">
        <w:rPr>
          <w:rFonts w:eastAsia="Times New Roman" w:cstheme="minorHAnsi"/>
          <w:szCs w:val="22"/>
        </w:rPr>
        <w:tab/>
        <w:t>Obsluha a práce na elektrických zařízeních</w:t>
      </w:r>
    </w:p>
    <w:p w14:paraId="3B247AA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33 0010ed.2</w:t>
      </w:r>
      <w:r w:rsidRPr="00A871E5">
        <w:rPr>
          <w:rFonts w:eastAsia="Times New Roman" w:cstheme="minorHAnsi"/>
          <w:szCs w:val="22"/>
        </w:rPr>
        <w:tab/>
        <w:t>Elektrotechnické předpisy - Rozdělení a pojmy</w:t>
      </w:r>
    </w:p>
    <w:p w14:paraId="0181D30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060210 </w:t>
      </w:r>
      <w:r w:rsidRPr="00A871E5">
        <w:rPr>
          <w:rFonts w:eastAsia="Times New Roman" w:cstheme="minorHAnsi"/>
          <w:szCs w:val="22"/>
        </w:rPr>
        <w:tab/>
        <w:t>Výpočet tepelných ztrát budov</w:t>
      </w:r>
    </w:p>
    <w:p w14:paraId="6C8A5BA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060830 </w:t>
      </w:r>
      <w:r w:rsidRPr="00A871E5">
        <w:rPr>
          <w:rFonts w:eastAsia="Times New Roman" w:cstheme="minorHAnsi"/>
          <w:szCs w:val="22"/>
        </w:rPr>
        <w:tab/>
        <w:t>Zabezpečovací zařízení pro ÚT</w:t>
      </w:r>
    </w:p>
    <w:p w14:paraId="12EB363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66 60 </w:t>
      </w:r>
      <w:r w:rsidRPr="00A871E5">
        <w:rPr>
          <w:rFonts w:eastAsia="Times New Roman" w:cstheme="minorHAnsi"/>
          <w:szCs w:val="22"/>
        </w:rPr>
        <w:tab/>
        <w:t>Vnitřní vodovody</w:t>
      </w:r>
    </w:p>
    <w:p w14:paraId="648CB16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75 67 60 </w:t>
      </w:r>
      <w:r w:rsidRPr="00A871E5">
        <w:rPr>
          <w:rFonts w:eastAsia="Times New Roman" w:cstheme="minorHAnsi"/>
          <w:szCs w:val="22"/>
        </w:rPr>
        <w:tab/>
        <w:t>Vnitřní kanalizace</w:t>
      </w:r>
    </w:p>
    <w:p w14:paraId="047F98B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12056-2 </w:t>
      </w:r>
      <w:r w:rsidRPr="00A871E5">
        <w:rPr>
          <w:rFonts w:eastAsia="Times New Roman" w:cstheme="minorHAnsi"/>
          <w:szCs w:val="22"/>
        </w:rPr>
        <w:tab/>
        <w:t>Odvádění splaškových odpadních vod</w:t>
      </w:r>
    </w:p>
    <w:p w14:paraId="2E11559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 01 </w:t>
      </w:r>
      <w:r w:rsidRPr="00A871E5">
        <w:rPr>
          <w:rFonts w:eastAsia="Times New Roman" w:cstheme="minorHAnsi"/>
          <w:szCs w:val="22"/>
        </w:rPr>
        <w:tab/>
        <w:t>Navrhování betonových konstrukcí</w:t>
      </w:r>
    </w:p>
    <w:p w14:paraId="6A0DE1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 35 </w:t>
      </w:r>
      <w:r w:rsidRPr="00A871E5">
        <w:rPr>
          <w:rFonts w:eastAsia="Times New Roman" w:cstheme="minorHAnsi"/>
          <w:szCs w:val="22"/>
        </w:rPr>
        <w:tab/>
        <w:t>Zatížení stavebních konstrukcí</w:t>
      </w:r>
    </w:p>
    <w:p w14:paraId="3194463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 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20572040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206-1 </w:t>
      </w:r>
      <w:r w:rsidRPr="00A871E5">
        <w:rPr>
          <w:rFonts w:eastAsia="Times New Roman" w:cstheme="minorHAnsi"/>
          <w:szCs w:val="22"/>
        </w:rPr>
        <w:tab/>
        <w:t>Beton – Část 1: Specifikace, vlastnosti, výroba a shoda</w:t>
      </w:r>
    </w:p>
    <w:p w14:paraId="497CF06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P ENV 13 670-1 </w:t>
      </w:r>
      <w:r w:rsidRPr="00A871E5">
        <w:rPr>
          <w:rFonts w:eastAsia="Times New Roman" w:cstheme="minorHAnsi"/>
          <w:szCs w:val="22"/>
        </w:rPr>
        <w:tab/>
        <w:t>Provádění betonových konstrukcí</w:t>
      </w:r>
    </w:p>
    <w:p w14:paraId="592029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00 38 </w:t>
      </w:r>
      <w:r w:rsidRPr="00A871E5">
        <w:rPr>
          <w:rFonts w:eastAsia="Times New Roman" w:cstheme="minorHAnsi"/>
          <w:szCs w:val="22"/>
        </w:rPr>
        <w:tab/>
        <w:t>Navrhování a posuzování stavebních konstrukcí při přestavbách</w:t>
      </w:r>
    </w:p>
    <w:p w14:paraId="41E19A9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0031 </w:t>
      </w:r>
      <w:r w:rsidRPr="00A871E5">
        <w:rPr>
          <w:rFonts w:eastAsia="Times New Roman" w:cstheme="minorHAnsi"/>
          <w:szCs w:val="22"/>
        </w:rPr>
        <w:tab/>
        <w:t>Spolehlivost stavebních konstrukcí a základových půd. Základní ustanovení pro výpočet.</w:t>
      </w:r>
    </w:p>
    <w:p w14:paraId="06F4F0A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ISO 2394 </w:t>
      </w:r>
      <w:r w:rsidRPr="00A871E5">
        <w:rPr>
          <w:rFonts w:eastAsia="Times New Roman" w:cstheme="minorHAnsi"/>
          <w:szCs w:val="22"/>
        </w:rPr>
        <w:tab/>
        <w:t>Obecné zásady spolehlivosti konstrukcí</w:t>
      </w:r>
    </w:p>
    <w:p w14:paraId="7DC0B69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0202 </w:t>
      </w:r>
      <w:r w:rsidRPr="00A871E5">
        <w:rPr>
          <w:rFonts w:eastAsia="Times New Roman" w:cstheme="minorHAnsi"/>
          <w:szCs w:val="22"/>
        </w:rPr>
        <w:tab/>
        <w:t>Geometrická přesnost ve výstavbě. Základní ustanovení</w:t>
      </w:r>
    </w:p>
    <w:p w14:paraId="6529B816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>ČSN 73 0532</w:t>
      </w:r>
      <w:r w:rsidRPr="00A871E5">
        <w:rPr>
          <w:rFonts w:eastAsia="Times New Roman" w:cstheme="minorHAnsi"/>
          <w:szCs w:val="22"/>
        </w:rPr>
        <w:tab/>
        <w:t>Akustika - Ochrana proti hluku v budovách a souvisící akustické vlastnosti s tavebních výrobků - Požadavky (2/2010)</w:t>
      </w:r>
    </w:p>
    <w:p w14:paraId="0C88204D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0540-1 </w:t>
      </w:r>
      <w:r w:rsidRPr="00A871E5">
        <w:rPr>
          <w:rFonts w:eastAsia="Times New Roman" w:cstheme="minorHAnsi"/>
          <w:szCs w:val="22"/>
        </w:rPr>
        <w:tab/>
        <w:t>Tepelná ochrana budov - Část 1: Termíny, definice a veličiny pro navrhování a ověřování</w:t>
      </w:r>
    </w:p>
    <w:p w14:paraId="5D4BEA8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0540-2 </w:t>
      </w:r>
      <w:r w:rsidRPr="00A871E5">
        <w:rPr>
          <w:rFonts w:eastAsia="Times New Roman" w:cstheme="minorHAnsi"/>
          <w:szCs w:val="22"/>
        </w:rPr>
        <w:tab/>
        <w:t>Tepelná ochrana budov - Část 2: Požadavky (10/2011)</w:t>
      </w:r>
    </w:p>
    <w:p w14:paraId="44725FD1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0540-3 </w:t>
      </w:r>
      <w:r w:rsidRPr="00A871E5">
        <w:rPr>
          <w:rFonts w:eastAsia="Times New Roman" w:cstheme="minorHAnsi"/>
          <w:szCs w:val="22"/>
        </w:rPr>
        <w:tab/>
        <w:t>Tepelná ochrana budov - Část 3: Výpočtové hodnoty veličin pro navrhování a ověřování</w:t>
      </w:r>
    </w:p>
    <w:p w14:paraId="72D2B6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0540-4 </w:t>
      </w:r>
      <w:r w:rsidRPr="00A871E5">
        <w:rPr>
          <w:rFonts w:eastAsia="Times New Roman" w:cstheme="minorHAnsi"/>
          <w:szCs w:val="22"/>
        </w:rPr>
        <w:tab/>
        <w:t>Tepelná ochrana budov - Část 4: Výpočtové metody pro navrhování a ověřování</w:t>
      </w:r>
    </w:p>
    <w:p w14:paraId="189E3A5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730580-1 </w:t>
      </w:r>
      <w:r w:rsidRPr="00A871E5">
        <w:rPr>
          <w:rFonts w:eastAsia="Times New Roman" w:cstheme="minorHAnsi"/>
          <w:szCs w:val="22"/>
        </w:rPr>
        <w:tab/>
        <w:t>Denní osvětlení budov - Část 1: Základní požadavky</w:t>
      </w:r>
    </w:p>
    <w:p w14:paraId="0930983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0600 </w:t>
      </w:r>
      <w:r w:rsidRPr="00A871E5">
        <w:rPr>
          <w:rFonts w:eastAsia="Times New Roman" w:cstheme="minorHAnsi"/>
          <w:szCs w:val="22"/>
        </w:rPr>
        <w:tab/>
        <w:t>Hydroizolace staveb - Základní ustanovení</w:t>
      </w:r>
    </w:p>
    <w:p w14:paraId="284D08F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0802 </w:t>
      </w:r>
      <w:r w:rsidRPr="00A871E5">
        <w:rPr>
          <w:rFonts w:eastAsia="Times New Roman" w:cstheme="minorHAnsi"/>
          <w:szCs w:val="22"/>
        </w:rPr>
        <w:tab/>
        <w:t>Požární bezpečnost staveb. Nevýrobní objekty. (12/2000)</w:t>
      </w:r>
    </w:p>
    <w:p w14:paraId="2E5DDD6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0810 </w:t>
      </w:r>
      <w:r w:rsidRPr="00A871E5">
        <w:rPr>
          <w:rFonts w:eastAsia="Times New Roman" w:cstheme="minorHAnsi"/>
          <w:szCs w:val="22"/>
        </w:rPr>
        <w:tab/>
        <w:t>Požární bezpečnost staveb. Požadavky na požární odolnost stavebních konstrukcí</w:t>
      </w:r>
    </w:p>
    <w:p w14:paraId="62035A9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0818 </w:t>
      </w:r>
      <w:r w:rsidRPr="00A871E5">
        <w:rPr>
          <w:rFonts w:eastAsia="Times New Roman" w:cstheme="minorHAnsi"/>
          <w:szCs w:val="22"/>
        </w:rPr>
        <w:tab/>
        <w:t>Požární bezpečnost staveb. Obsazení objektu osobami</w:t>
      </w:r>
    </w:p>
    <w:p w14:paraId="35B6FFB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0873 </w:t>
      </w:r>
      <w:r w:rsidRPr="00A871E5">
        <w:rPr>
          <w:rFonts w:eastAsia="Times New Roman" w:cstheme="minorHAnsi"/>
          <w:szCs w:val="22"/>
        </w:rPr>
        <w:tab/>
        <w:t>Požární bezpečnost staveb. Zásobování požární vodou</w:t>
      </w:r>
    </w:p>
    <w:p w14:paraId="487DC7E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1101 </w:t>
      </w:r>
      <w:r w:rsidRPr="00A871E5">
        <w:rPr>
          <w:rFonts w:eastAsia="Times New Roman" w:cstheme="minorHAnsi"/>
          <w:szCs w:val="22"/>
        </w:rPr>
        <w:tab/>
        <w:t>Navrhování zděných konstrukcí</w:t>
      </w:r>
    </w:p>
    <w:p w14:paraId="1C6BE03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1201 </w:t>
      </w:r>
      <w:r>
        <w:rPr>
          <w:rFonts w:eastAsia="Times New Roman" w:cstheme="minorHAnsi"/>
          <w:szCs w:val="22"/>
        </w:rPr>
        <w:tab/>
      </w:r>
      <w:r w:rsidRPr="00A871E5">
        <w:rPr>
          <w:rFonts w:eastAsia="Times New Roman" w:cstheme="minorHAnsi"/>
          <w:szCs w:val="22"/>
        </w:rPr>
        <w:t>Navrhování betonových konstrukcí</w:t>
      </w:r>
    </w:p>
    <w:p w14:paraId="7186316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1401 </w:t>
      </w:r>
      <w:r w:rsidRPr="00A871E5">
        <w:rPr>
          <w:rFonts w:eastAsia="Times New Roman" w:cstheme="minorHAnsi"/>
          <w:szCs w:val="22"/>
        </w:rPr>
        <w:tab/>
        <w:t>Navrhování ocelových konstrukcí</w:t>
      </w:r>
    </w:p>
    <w:p w14:paraId="4422A49F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1901 </w:t>
      </w:r>
      <w:r w:rsidRPr="00A871E5">
        <w:rPr>
          <w:rFonts w:eastAsia="Times New Roman" w:cstheme="minorHAnsi"/>
          <w:szCs w:val="22"/>
        </w:rPr>
        <w:tab/>
        <w:t>Navrhování střech - Základní ustanovení</w:t>
      </w:r>
    </w:p>
    <w:p w14:paraId="00123E02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2310 </w:t>
      </w:r>
      <w:r w:rsidRPr="00A871E5">
        <w:rPr>
          <w:rFonts w:eastAsia="Times New Roman" w:cstheme="minorHAnsi"/>
          <w:szCs w:val="22"/>
        </w:rPr>
        <w:tab/>
        <w:t>Provádění zděných konstrukcí</w:t>
      </w:r>
    </w:p>
    <w:p w14:paraId="56E188D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2601 </w:t>
      </w:r>
      <w:r w:rsidRPr="00A871E5">
        <w:rPr>
          <w:rFonts w:eastAsia="Times New Roman" w:cstheme="minorHAnsi"/>
          <w:szCs w:val="22"/>
        </w:rPr>
        <w:tab/>
        <w:t>Provádění ocelových konstrukcí</w:t>
      </w:r>
    </w:p>
    <w:p w14:paraId="254AE60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2810 </w:t>
      </w:r>
      <w:r w:rsidRPr="00A871E5">
        <w:rPr>
          <w:rFonts w:eastAsia="Times New Roman" w:cstheme="minorHAnsi"/>
          <w:szCs w:val="22"/>
        </w:rPr>
        <w:tab/>
        <w:t>Dřevěné stavební konstrukce. Provádění</w:t>
      </w:r>
    </w:p>
    <w:p w14:paraId="4567D78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3130 </w:t>
      </w:r>
      <w:r w:rsidRPr="00A871E5">
        <w:rPr>
          <w:rFonts w:eastAsia="Times New Roman" w:cstheme="minorHAnsi"/>
          <w:szCs w:val="22"/>
        </w:rPr>
        <w:tab/>
        <w:t>Stavební práce. Truhlářské práce stavební. Základní ustanovení</w:t>
      </w:r>
    </w:p>
    <w:p w14:paraId="3BC39A2D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3440 </w:t>
      </w:r>
      <w:r w:rsidRPr="00A871E5">
        <w:rPr>
          <w:rFonts w:eastAsia="Times New Roman" w:cstheme="minorHAnsi"/>
          <w:szCs w:val="22"/>
        </w:rPr>
        <w:tab/>
        <w:t>Stavební práce. Sklenářské práce stavební. Základní ustanovení</w:t>
      </w:r>
    </w:p>
    <w:p w14:paraId="59FE852A" w14:textId="77777777" w:rsidR="00624E03" w:rsidRPr="00A871E5" w:rsidRDefault="00624E03" w:rsidP="00624E03">
      <w:pPr>
        <w:tabs>
          <w:tab w:val="left" w:pos="2410"/>
        </w:tabs>
        <w:ind w:left="2410" w:hanging="2410"/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EN 13914-2 </w:t>
      </w:r>
      <w:r w:rsidRPr="00A871E5">
        <w:rPr>
          <w:rFonts w:eastAsia="Times New Roman" w:cstheme="minorHAnsi"/>
          <w:szCs w:val="22"/>
        </w:rPr>
        <w:tab/>
        <w:t>Navrhování, příprava a provádění vnějších a vnitřních omítek - Část 2: Příprava návrhu a základní postupy pro vnitřní omítky.</w:t>
      </w:r>
    </w:p>
    <w:p w14:paraId="14478DC7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3450 </w:t>
      </w:r>
      <w:r w:rsidRPr="00A871E5">
        <w:rPr>
          <w:rFonts w:eastAsia="Times New Roman" w:cstheme="minorHAnsi"/>
          <w:szCs w:val="22"/>
        </w:rPr>
        <w:tab/>
        <w:t>Obklady keramické a skleněné</w:t>
      </w:r>
    </w:p>
    <w:p w14:paraId="1816C5E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3610 </w:t>
      </w:r>
      <w:r w:rsidRPr="00A871E5">
        <w:rPr>
          <w:rFonts w:eastAsia="Times New Roman" w:cstheme="minorHAnsi"/>
          <w:szCs w:val="22"/>
        </w:rPr>
        <w:tab/>
        <w:t>Navrhování klempířských konstrukcí</w:t>
      </w:r>
    </w:p>
    <w:p w14:paraId="3CB270F4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4130 </w:t>
      </w:r>
      <w:r w:rsidRPr="00A871E5">
        <w:rPr>
          <w:rFonts w:eastAsia="Times New Roman" w:cstheme="minorHAnsi"/>
          <w:szCs w:val="22"/>
        </w:rPr>
        <w:tab/>
        <w:t>Schodiště a šikmé rampy. Základní ustanovení</w:t>
      </w:r>
    </w:p>
    <w:p w14:paraId="24A4122A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6005 </w:t>
      </w:r>
      <w:r w:rsidRPr="00A871E5">
        <w:rPr>
          <w:rFonts w:eastAsia="Times New Roman" w:cstheme="minorHAnsi"/>
          <w:szCs w:val="22"/>
        </w:rPr>
        <w:tab/>
        <w:t>Prostorové uspořádání sítí technického vybavení</w:t>
      </w:r>
    </w:p>
    <w:p w14:paraId="4559A0B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6058 </w:t>
      </w:r>
      <w:r w:rsidRPr="00A871E5">
        <w:rPr>
          <w:rFonts w:eastAsia="Times New Roman" w:cstheme="minorHAnsi"/>
          <w:szCs w:val="22"/>
        </w:rPr>
        <w:tab/>
        <w:t>Jednotlivé, řadové a hromadné garáže</w:t>
      </w:r>
    </w:p>
    <w:p w14:paraId="1A773C96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73 8101 </w:t>
      </w:r>
      <w:r w:rsidRPr="00A871E5">
        <w:rPr>
          <w:rFonts w:eastAsia="Times New Roman" w:cstheme="minorHAnsi"/>
          <w:szCs w:val="22"/>
        </w:rPr>
        <w:tab/>
        <w:t>Lešení. Společná ustanovení</w:t>
      </w:r>
    </w:p>
    <w:p w14:paraId="6B5C117E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3282 </w:t>
      </w:r>
      <w:r w:rsidRPr="00A871E5">
        <w:rPr>
          <w:rFonts w:eastAsia="Times New Roman" w:cstheme="minorHAnsi"/>
          <w:szCs w:val="22"/>
        </w:rPr>
        <w:tab/>
        <w:t>Ocelové žebříky. Základní ustanovení</w:t>
      </w:r>
    </w:p>
    <w:p w14:paraId="4618082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3305 </w:t>
      </w:r>
      <w:r w:rsidRPr="00A871E5">
        <w:rPr>
          <w:rFonts w:eastAsia="Times New Roman" w:cstheme="minorHAnsi"/>
          <w:szCs w:val="22"/>
        </w:rPr>
        <w:tab/>
        <w:t>Ochranná zábradlí. Základní ustanovení</w:t>
      </w:r>
    </w:p>
    <w:p w14:paraId="22FDCA43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4505 </w:t>
      </w:r>
      <w:r w:rsidRPr="00A871E5">
        <w:rPr>
          <w:rFonts w:eastAsia="Times New Roman" w:cstheme="minorHAnsi"/>
          <w:szCs w:val="22"/>
        </w:rPr>
        <w:tab/>
        <w:t>Podlahy. Společná ustanovení</w:t>
      </w:r>
    </w:p>
    <w:p w14:paraId="7D453D1C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4507 </w:t>
      </w:r>
      <w:r w:rsidRPr="00A871E5">
        <w:rPr>
          <w:rFonts w:eastAsia="Times New Roman" w:cstheme="minorHAnsi"/>
          <w:szCs w:val="22"/>
        </w:rPr>
        <w:tab/>
      </w:r>
      <w:r w:rsidRPr="00A871E5">
        <w:rPr>
          <w:szCs w:val="22"/>
        </w:rPr>
        <w:t>Odolnost proti skluznosti podlah. Stanovení součinitele smykového tření</w:t>
      </w:r>
    </w:p>
    <w:p w14:paraId="64465408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6210 </w:t>
      </w:r>
      <w:r w:rsidRPr="00A871E5">
        <w:rPr>
          <w:rFonts w:eastAsia="Times New Roman" w:cstheme="minorHAnsi"/>
          <w:szCs w:val="22"/>
        </w:rPr>
        <w:tab/>
        <w:t>Kovová okna. Základní ustanovení</w:t>
      </w:r>
    </w:p>
    <w:p w14:paraId="7912904B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6401 </w:t>
      </w:r>
      <w:r w:rsidRPr="00A871E5">
        <w:rPr>
          <w:rFonts w:eastAsia="Times New Roman" w:cstheme="minorHAnsi"/>
          <w:szCs w:val="22"/>
        </w:rPr>
        <w:tab/>
        <w:t>Dřevěné dveře. Základní ustanovení</w:t>
      </w:r>
    </w:p>
    <w:p w14:paraId="583681D5" w14:textId="77777777" w:rsidR="00624E03" w:rsidRPr="00A871E5" w:rsidRDefault="00624E03" w:rsidP="00624E03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6501 </w:t>
      </w:r>
      <w:r w:rsidRPr="00A871E5">
        <w:rPr>
          <w:rFonts w:eastAsia="Times New Roman" w:cstheme="minorHAnsi"/>
          <w:szCs w:val="22"/>
        </w:rPr>
        <w:tab/>
        <w:t>Ocelové zárubně. Společná ustanovení</w:t>
      </w:r>
    </w:p>
    <w:p w14:paraId="3E1FBA7F" w14:textId="2E6596FD" w:rsidR="00624E03" w:rsidRDefault="00624E03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  <w:r w:rsidRPr="00A871E5">
        <w:rPr>
          <w:rFonts w:eastAsia="Times New Roman" w:cstheme="minorHAnsi"/>
          <w:szCs w:val="22"/>
        </w:rPr>
        <w:t xml:space="preserve">ČSN 74 6550 </w:t>
      </w:r>
      <w:r w:rsidRPr="00A871E5">
        <w:rPr>
          <w:rFonts w:eastAsia="Times New Roman" w:cstheme="minorHAnsi"/>
          <w:szCs w:val="22"/>
        </w:rPr>
        <w:tab/>
        <w:t>Kovové dveře otvíravé. Základní ustanovení</w:t>
      </w:r>
    </w:p>
    <w:p w14:paraId="0A5E249B" w14:textId="77777777" w:rsidR="00D239BC" w:rsidRPr="00527B9E" w:rsidRDefault="00D239BC" w:rsidP="00527B9E">
      <w:pPr>
        <w:tabs>
          <w:tab w:val="left" w:pos="2410"/>
        </w:tabs>
        <w:contextualSpacing/>
        <w:rPr>
          <w:rFonts w:eastAsia="Times New Roman" w:cstheme="minorHAnsi"/>
          <w:szCs w:val="22"/>
        </w:rPr>
      </w:pPr>
    </w:p>
    <w:p w14:paraId="6242661D" w14:textId="03530722" w:rsidR="00624E03" w:rsidRPr="004319D6" w:rsidRDefault="004319D6" w:rsidP="004319D6">
      <w:pPr>
        <w:pBdr>
          <w:bottom w:val="single" w:sz="4" w:space="1" w:color="auto"/>
        </w:pBdr>
        <w:tabs>
          <w:tab w:val="left" w:pos="851"/>
        </w:tabs>
        <w:spacing w:before="160"/>
        <w:outlineLvl w:val="0"/>
        <w:rPr>
          <w:rFonts w:ascii="Calibri Light" w:hAnsi="Calibri Light"/>
          <w:b/>
          <w:sz w:val="28"/>
          <w:szCs w:val="32"/>
        </w:rPr>
      </w:pPr>
      <w:r w:rsidRPr="004319D6">
        <w:rPr>
          <w:rFonts w:ascii="Calibri Light" w:hAnsi="Calibri Light"/>
          <w:b/>
          <w:sz w:val="28"/>
          <w:szCs w:val="32"/>
        </w:rPr>
        <w:t xml:space="preserve"> </w:t>
      </w:r>
      <w:bookmarkStart w:id="72" w:name="_Toc49776164"/>
      <w:r>
        <w:rPr>
          <w:rFonts w:ascii="Calibri Light" w:hAnsi="Calibri Light"/>
          <w:b/>
          <w:sz w:val="28"/>
          <w:szCs w:val="32"/>
        </w:rPr>
        <w:t>6.</w:t>
      </w:r>
      <w:r>
        <w:rPr>
          <w:rFonts w:ascii="Calibri Light" w:hAnsi="Calibri Light"/>
          <w:b/>
          <w:sz w:val="28"/>
          <w:szCs w:val="32"/>
        </w:rPr>
        <w:tab/>
      </w:r>
      <w:bookmarkStart w:id="73" w:name="_Toc507741679"/>
      <w:r w:rsidR="001370F9" w:rsidRPr="004319D6">
        <w:rPr>
          <w:rFonts w:ascii="Calibri Light" w:hAnsi="Calibri Light"/>
          <w:b/>
          <w:sz w:val="28"/>
          <w:szCs w:val="32"/>
        </w:rPr>
        <w:t>P</w:t>
      </w:r>
      <w:r w:rsidR="00624E03" w:rsidRPr="004319D6">
        <w:rPr>
          <w:rFonts w:ascii="Calibri Light" w:hAnsi="Calibri Light"/>
          <w:b/>
          <w:sz w:val="28"/>
          <w:szCs w:val="32"/>
        </w:rPr>
        <w:t>oznámky</w:t>
      </w:r>
      <w:bookmarkEnd w:id="72"/>
      <w:bookmarkEnd w:id="73"/>
    </w:p>
    <w:p w14:paraId="2854476B" w14:textId="0EA36F06" w:rsidR="00624E03" w:rsidRPr="00FA4D70" w:rsidRDefault="00624E03" w:rsidP="00624E03">
      <w:pPr>
        <w:numPr>
          <w:ilvl w:val="0"/>
          <w:numId w:val="2"/>
        </w:numPr>
      </w:pPr>
      <w:r w:rsidRPr="00FA4D70">
        <w:t>Tato dokumentace byla zpracována v rozsahu pro provedení stavby.</w:t>
      </w:r>
    </w:p>
    <w:p w14:paraId="4444A86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Tato dokumentace nenahrazuje dílenskou, technologickou nebo prováděcí dokumentaci dodavatele stavby.</w:t>
      </w:r>
    </w:p>
    <w:p w14:paraId="18FCD9F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Záměna materiálů nebo technologií je možná pouze po odsouhlasení investorem s</w:t>
      </w:r>
      <w:r>
        <w:t>tavby a generálním projektantem.</w:t>
      </w:r>
    </w:p>
    <w:p w14:paraId="3742F089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realizaci je nutné dodržovat bezpečnostní a technologické předpisy ve stavebnictví.</w:t>
      </w:r>
    </w:p>
    <w:p w14:paraId="1E1291C3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Výběr konkrétních systémů a materiálů bude proveden na základě dohody mezi investorem a vybraným zhotovitelem v rámci výběrového řízení a musí být odso</w:t>
      </w:r>
      <w:r>
        <w:t>uhlasen generálním projektantem.</w:t>
      </w:r>
    </w:p>
    <w:p w14:paraId="496E9F16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Na stavbu budou dodány výhradně atestované stavební materiály a výrobky.</w:t>
      </w:r>
    </w:p>
    <w:p w14:paraId="33D9E024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Při stavbě platí obecně platné předpisy týkající se kvality a provedení stavebních prací, ČSN a vyhlášky nebo zákonné předpisy.</w:t>
      </w:r>
    </w:p>
    <w:p w14:paraId="4878940D" w14:textId="77777777" w:rsidR="00624E03" w:rsidRPr="00FA4D70" w:rsidRDefault="00624E03" w:rsidP="00624E03">
      <w:pPr>
        <w:numPr>
          <w:ilvl w:val="0"/>
          <w:numId w:val="2"/>
        </w:numPr>
      </w:pPr>
      <w:r w:rsidRPr="00FA4D70">
        <w:t>Stavba bude provedena odbornou firmou. Budou dodržovány bezpečnostní a technologické předpisy ve stavebnictví dle použitých technologií, materiálů a systémů a související. Při stavbě je nutno respektovat všechny ČSN a související předpisy, týkajících se rozsahu prováděných prací</w:t>
      </w:r>
    </w:p>
    <w:p w14:paraId="54D4A1CB" w14:textId="77777777" w:rsidR="00624E03" w:rsidRPr="00FA4D70" w:rsidRDefault="00624E03" w:rsidP="00624E03">
      <w:pPr>
        <w:numPr>
          <w:ilvl w:val="0"/>
          <w:numId w:val="3"/>
        </w:numPr>
      </w:pPr>
      <w:r w:rsidRPr="00FA4D70">
        <w:t>Nutné doklady, předložené dodavateli při přejímce prací:</w:t>
      </w:r>
    </w:p>
    <w:p w14:paraId="7C4FD83C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Stavební deník</w:t>
      </w:r>
    </w:p>
    <w:p w14:paraId="1E2780CB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Technická dokumentace dle skutečného provedení stavby</w:t>
      </w:r>
    </w:p>
    <w:p w14:paraId="6C849D1F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Předem odsouhlasené změny oproti schválené dokumentaci</w:t>
      </w:r>
    </w:p>
    <w:p w14:paraId="368CA300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dodaných materiálů na stavbu a strojně-technologických zařízení v českém jazyce</w:t>
      </w:r>
    </w:p>
    <w:p w14:paraId="4C5610D7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Atesty veškerých protipožárních opatření a úprav stavebních konstrukcí</w:t>
      </w:r>
    </w:p>
    <w:p w14:paraId="1CD0D9C8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Protokoly o provedení jednotlivých zkoušek (kanalizace</w:t>
      </w:r>
      <w:r>
        <w:t>)</w:t>
      </w:r>
    </w:p>
    <w:p w14:paraId="133F80AF" w14:textId="77777777" w:rsidR="00624E03" w:rsidRPr="00FA4D70" w:rsidRDefault="00624E03" w:rsidP="00624E03">
      <w:pPr>
        <w:numPr>
          <w:ilvl w:val="0"/>
          <w:numId w:val="4"/>
        </w:numPr>
        <w:ind w:left="1134"/>
      </w:pPr>
      <w:r>
        <w:t>Veškeré potřebné revizní zprávy</w:t>
      </w:r>
    </w:p>
    <w:p w14:paraId="063887CE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 xml:space="preserve">Návody na obsluhu a údržbu jednotlivých zařízení </w:t>
      </w:r>
    </w:p>
    <w:p w14:paraId="41BE8F3A" w14:textId="77777777" w:rsidR="00624E03" w:rsidRPr="00FA4D70" w:rsidRDefault="00624E03" w:rsidP="00624E03">
      <w:pPr>
        <w:numPr>
          <w:ilvl w:val="0"/>
          <w:numId w:val="4"/>
        </w:numPr>
        <w:ind w:left="1134"/>
      </w:pPr>
      <w:r w:rsidRPr="00FA4D70">
        <w:t>Doklady dle zákona o odpadech č. 125/97 Sb.</w:t>
      </w:r>
    </w:p>
    <w:bookmarkEnd w:id="71"/>
    <w:p w14:paraId="4689700C" w14:textId="77777777" w:rsidR="00FA4D70" w:rsidRPr="00FA4D70" w:rsidRDefault="00FA4D70" w:rsidP="00FA4D70"/>
    <w:p w14:paraId="219C5D3E" w14:textId="0A55F79D" w:rsidR="00FA4D70" w:rsidRDefault="00FA4D70" w:rsidP="00FA4D70"/>
    <w:p w14:paraId="503AF8D7" w14:textId="77777777" w:rsidR="00E800A3" w:rsidRDefault="00E800A3" w:rsidP="00FA4D70"/>
    <w:p w14:paraId="760B886E" w14:textId="54E0D70D" w:rsidR="00FF1540" w:rsidRDefault="00FF1540" w:rsidP="00FA4D70"/>
    <w:p w14:paraId="50A6EAC8" w14:textId="77777777" w:rsidR="00DA2881" w:rsidRPr="00FA4D70" w:rsidRDefault="00DA2881" w:rsidP="00FA4D70"/>
    <w:p w14:paraId="06B1E80C" w14:textId="458ED862" w:rsidR="00FA4D70" w:rsidRPr="00FA4D70" w:rsidRDefault="00B417C3" w:rsidP="00FA4D70">
      <w:r>
        <w:t xml:space="preserve">V Ostravě </w:t>
      </w:r>
      <w:r w:rsidR="008C5BB3">
        <w:t>0</w:t>
      </w:r>
      <w:r w:rsidR="0047465C">
        <w:t>4</w:t>
      </w:r>
      <w:r w:rsidR="008C5BB3">
        <w:t>/</w:t>
      </w:r>
      <w:r w:rsidR="00350AEA">
        <w:t>20</w:t>
      </w:r>
      <w:r w:rsidR="00AF7AB8">
        <w:t>2</w:t>
      </w:r>
      <w:r w:rsidR="007D3F06">
        <w:t>1</w:t>
      </w:r>
    </w:p>
    <w:p w14:paraId="47A135A8" w14:textId="3438E08D" w:rsidR="00FA4D70" w:rsidRPr="00FA4D70" w:rsidRDefault="00FA4D70" w:rsidP="00FA4D70">
      <w:r w:rsidRPr="00FA4D70">
        <w:t xml:space="preserve">Ing. </w:t>
      </w:r>
      <w:r w:rsidR="00D92083">
        <w:t xml:space="preserve">Vladimír </w:t>
      </w:r>
      <w:r w:rsidR="00AF7AB8">
        <w:t>Hořelka</w:t>
      </w:r>
    </w:p>
    <w:p w14:paraId="0E94482C" w14:textId="77777777" w:rsidR="00FA4D70" w:rsidRDefault="00FA4D70" w:rsidP="00FA4D70"/>
    <w:bookmarkEnd w:id="1"/>
    <w:bookmarkEnd w:id="6"/>
    <w:p w14:paraId="69A1872A" w14:textId="77777777" w:rsidR="00700B09" w:rsidRPr="00604289" w:rsidRDefault="00700B09" w:rsidP="00700B09">
      <w:pPr>
        <w:spacing w:after="240"/>
      </w:pPr>
    </w:p>
    <w:sectPr w:rsidR="00700B09" w:rsidRPr="00604289" w:rsidSect="00EC2F82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247" w:right="907" w:bottom="993" w:left="1134" w:header="567" w:footer="6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1C273" w14:textId="77777777" w:rsidR="00772DE0" w:rsidRDefault="00772DE0" w:rsidP="005B09D6">
      <w:r>
        <w:separator/>
      </w:r>
    </w:p>
  </w:endnote>
  <w:endnote w:type="continuationSeparator" w:id="0">
    <w:p w14:paraId="71AF0EA2" w14:textId="77777777" w:rsidR="00772DE0" w:rsidRDefault="00772DE0" w:rsidP="005B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MT">
    <w:altName w:val="Arial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4954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9E13DA5" w14:textId="77777777" w:rsidR="00B70121" w:rsidRDefault="00B70121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1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21069765" w14:textId="77777777" w:rsidR="00B70121" w:rsidRDefault="00B701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18DA" w14:textId="77777777" w:rsidR="00B70121" w:rsidRPr="001C6EFE" w:rsidRDefault="00B70121" w:rsidP="001C6EFE">
    <w:pPr>
      <w:pStyle w:val="Zpat"/>
      <w:spacing w:after="20"/>
      <w:rPr>
        <w:b/>
        <w:sz w:val="2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610A" w14:textId="77777777" w:rsidR="00772DE0" w:rsidRDefault="00772DE0" w:rsidP="005B09D6">
      <w:r>
        <w:separator/>
      </w:r>
    </w:p>
  </w:footnote>
  <w:footnote w:type="continuationSeparator" w:id="0">
    <w:p w14:paraId="3F53E59E" w14:textId="77777777" w:rsidR="00772DE0" w:rsidRDefault="00772DE0" w:rsidP="005B0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71BC5" w14:textId="4A7086E8" w:rsidR="0043649F" w:rsidRDefault="00560934" w:rsidP="0056093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EDB516" wp14:editId="145F57F3">
          <wp:simplePos x="0" y="0"/>
          <wp:positionH relativeFrom="margin">
            <wp:align>right</wp:align>
          </wp:positionH>
          <wp:positionV relativeFrom="paragraph">
            <wp:posOffset>-31115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2368D" w14:textId="4948A83F" w:rsidR="00560934" w:rsidRPr="004D5321" w:rsidRDefault="00560934" w:rsidP="00560934">
    <w:pPr>
      <w:pStyle w:val="Zhlav"/>
      <w:jc w:val="right"/>
      <w:rPr>
        <w:sz w:val="16"/>
      </w:rPr>
    </w:pP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sz w:val="16"/>
      </w:rPr>
      <w:t xml:space="preserve">       V</w:t>
    </w:r>
    <w:r w:rsidRPr="004D5321">
      <w:rPr>
        <w:sz w:val="16"/>
      </w:rPr>
      <w:t>aršavská 1866/103 Ostrava-Hulváky, 709 00</w:t>
    </w:r>
  </w:p>
  <w:p w14:paraId="07139804" w14:textId="77777777" w:rsidR="00560934" w:rsidRDefault="00560934" w:rsidP="00560934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15BB8E4C" w14:textId="77777777" w:rsidR="00560934" w:rsidRDefault="00560934" w:rsidP="00560934">
    <w:pPr>
      <w:pStyle w:val="Zhlav"/>
      <w:jc w:val="right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</w:p>
  <w:p w14:paraId="688140DC" w14:textId="77777777" w:rsidR="00560934" w:rsidRPr="0043649F" w:rsidRDefault="00560934" w:rsidP="00473BA0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0678" w14:textId="77777777" w:rsidR="00B70121" w:rsidRPr="00C07A8A" w:rsidRDefault="00B70121" w:rsidP="00DD012E">
    <w:pPr>
      <w:pStyle w:val="Zhlav"/>
      <w:jc w:val="center"/>
      <w:rPr>
        <w:color w:val="262626" w:themeColor="text1" w:themeTint="D9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6C6D"/>
    <w:multiLevelType w:val="hybridMultilevel"/>
    <w:tmpl w:val="E6DC4D5E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65CD"/>
    <w:multiLevelType w:val="hybridMultilevel"/>
    <w:tmpl w:val="925C5C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1C7C"/>
    <w:multiLevelType w:val="hybridMultilevel"/>
    <w:tmpl w:val="580A130E"/>
    <w:lvl w:ilvl="0" w:tplc="90E8B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E41FB"/>
    <w:multiLevelType w:val="hybridMultilevel"/>
    <w:tmpl w:val="AD9238F0"/>
    <w:lvl w:ilvl="0" w:tplc="D32031DA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43282"/>
    <w:multiLevelType w:val="hybridMultilevel"/>
    <w:tmpl w:val="D602B040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B34BD"/>
    <w:multiLevelType w:val="hybridMultilevel"/>
    <w:tmpl w:val="D9CAB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11E52"/>
    <w:multiLevelType w:val="multilevel"/>
    <w:tmpl w:val="4E50B4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C1C5DFC"/>
    <w:multiLevelType w:val="hybridMultilevel"/>
    <w:tmpl w:val="0B60D2DE"/>
    <w:lvl w:ilvl="0" w:tplc="AFCE0826">
      <w:start w:val="2"/>
      <w:numFmt w:val="bullet"/>
      <w:lvlText w:val="-"/>
      <w:lvlJc w:val="left"/>
      <w:pPr>
        <w:ind w:left="1065" w:hanging="705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15E44"/>
    <w:multiLevelType w:val="hybridMultilevel"/>
    <w:tmpl w:val="1EE4585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6C41E1"/>
    <w:multiLevelType w:val="hybridMultilevel"/>
    <w:tmpl w:val="2DCAE3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14690"/>
    <w:multiLevelType w:val="multilevel"/>
    <w:tmpl w:val="7CEC104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599262351">
    <w:abstractNumId w:val="3"/>
  </w:num>
  <w:num w:numId="2" w16cid:durableId="134027176">
    <w:abstractNumId w:val="4"/>
  </w:num>
  <w:num w:numId="3" w16cid:durableId="875773071">
    <w:abstractNumId w:val="0"/>
  </w:num>
  <w:num w:numId="4" w16cid:durableId="1853832706">
    <w:abstractNumId w:val="5"/>
  </w:num>
  <w:num w:numId="5" w16cid:durableId="1498761283">
    <w:abstractNumId w:val="8"/>
  </w:num>
  <w:num w:numId="6" w16cid:durableId="1409813063">
    <w:abstractNumId w:val="9"/>
  </w:num>
  <w:num w:numId="7" w16cid:durableId="248972441">
    <w:abstractNumId w:val="12"/>
  </w:num>
  <w:num w:numId="8" w16cid:durableId="1948391985">
    <w:abstractNumId w:val="2"/>
  </w:num>
  <w:num w:numId="9" w16cid:durableId="2146921436">
    <w:abstractNumId w:val="7"/>
  </w:num>
  <w:num w:numId="10" w16cid:durableId="1221093927">
    <w:abstractNumId w:val="11"/>
  </w:num>
  <w:num w:numId="11" w16cid:durableId="1517231882">
    <w:abstractNumId w:val="6"/>
  </w:num>
  <w:num w:numId="12" w16cid:durableId="923148334">
    <w:abstractNumId w:val="1"/>
  </w:num>
  <w:num w:numId="13" w16cid:durableId="27933640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1A"/>
    <w:rsid w:val="00001621"/>
    <w:rsid w:val="00005321"/>
    <w:rsid w:val="00011568"/>
    <w:rsid w:val="00012BF1"/>
    <w:rsid w:val="0001551C"/>
    <w:rsid w:val="00021E5F"/>
    <w:rsid w:val="00022E51"/>
    <w:rsid w:val="00023416"/>
    <w:rsid w:val="0002647C"/>
    <w:rsid w:val="0002785D"/>
    <w:rsid w:val="00027D19"/>
    <w:rsid w:val="00031353"/>
    <w:rsid w:val="000328C1"/>
    <w:rsid w:val="00035778"/>
    <w:rsid w:val="00041D93"/>
    <w:rsid w:val="00042E2F"/>
    <w:rsid w:val="00043E52"/>
    <w:rsid w:val="0004426B"/>
    <w:rsid w:val="00052338"/>
    <w:rsid w:val="00052D5F"/>
    <w:rsid w:val="00052F86"/>
    <w:rsid w:val="00052FCD"/>
    <w:rsid w:val="000530CD"/>
    <w:rsid w:val="000530DC"/>
    <w:rsid w:val="0005348B"/>
    <w:rsid w:val="00053A15"/>
    <w:rsid w:val="00055684"/>
    <w:rsid w:val="00055690"/>
    <w:rsid w:val="000618BA"/>
    <w:rsid w:val="00064EEE"/>
    <w:rsid w:val="00065763"/>
    <w:rsid w:val="00066640"/>
    <w:rsid w:val="00067499"/>
    <w:rsid w:val="0006788D"/>
    <w:rsid w:val="00071D43"/>
    <w:rsid w:val="0007398C"/>
    <w:rsid w:val="000741E6"/>
    <w:rsid w:val="000760DA"/>
    <w:rsid w:val="00076E94"/>
    <w:rsid w:val="00077893"/>
    <w:rsid w:val="000807BE"/>
    <w:rsid w:val="0008209C"/>
    <w:rsid w:val="000834D7"/>
    <w:rsid w:val="0008562E"/>
    <w:rsid w:val="00086BDB"/>
    <w:rsid w:val="0009132D"/>
    <w:rsid w:val="0009194A"/>
    <w:rsid w:val="00092946"/>
    <w:rsid w:val="000946C0"/>
    <w:rsid w:val="00096B3A"/>
    <w:rsid w:val="000A02F1"/>
    <w:rsid w:val="000A03B9"/>
    <w:rsid w:val="000A39FF"/>
    <w:rsid w:val="000A53CB"/>
    <w:rsid w:val="000A5BDC"/>
    <w:rsid w:val="000A64A6"/>
    <w:rsid w:val="000A64C4"/>
    <w:rsid w:val="000A699B"/>
    <w:rsid w:val="000A7803"/>
    <w:rsid w:val="000B0D7E"/>
    <w:rsid w:val="000B2607"/>
    <w:rsid w:val="000B441B"/>
    <w:rsid w:val="000B4CE7"/>
    <w:rsid w:val="000B5A19"/>
    <w:rsid w:val="000C39C4"/>
    <w:rsid w:val="000C6485"/>
    <w:rsid w:val="000C7B7A"/>
    <w:rsid w:val="000D0627"/>
    <w:rsid w:val="000D0773"/>
    <w:rsid w:val="000D1299"/>
    <w:rsid w:val="000D29D9"/>
    <w:rsid w:val="000D39B3"/>
    <w:rsid w:val="000D3CB7"/>
    <w:rsid w:val="000D730C"/>
    <w:rsid w:val="000D78AA"/>
    <w:rsid w:val="000D7FE7"/>
    <w:rsid w:val="000E05AB"/>
    <w:rsid w:val="000E0AF6"/>
    <w:rsid w:val="000E1313"/>
    <w:rsid w:val="000E1EF3"/>
    <w:rsid w:val="000E31BD"/>
    <w:rsid w:val="000E4457"/>
    <w:rsid w:val="000E4D86"/>
    <w:rsid w:val="000E6D82"/>
    <w:rsid w:val="000E78C6"/>
    <w:rsid w:val="000F167F"/>
    <w:rsid w:val="000F640F"/>
    <w:rsid w:val="000F6857"/>
    <w:rsid w:val="00101F59"/>
    <w:rsid w:val="00106D3B"/>
    <w:rsid w:val="00107575"/>
    <w:rsid w:val="00107DC4"/>
    <w:rsid w:val="00110944"/>
    <w:rsid w:val="00112E98"/>
    <w:rsid w:val="001130E4"/>
    <w:rsid w:val="0011386C"/>
    <w:rsid w:val="0011460F"/>
    <w:rsid w:val="00115059"/>
    <w:rsid w:val="001158BF"/>
    <w:rsid w:val="0011618D"/>
    <w:rsid w:val="00116295"/>
    <w:rsid w:val="00120712"/>
    <w:rsid w:val="00120AEB"/>
    <w:rsid w:val="001240B9"/>
    <w:rsid w:val="00126D69"/>
    <w:rsid w:val="00127D40"/>
    <w:rsid w:val="00130569"/>
    <w:rsid w:val="0013070B"/>
    <w:rsid w:val="00131288"/>
    <w:rsid w:val="001321A5"/>
    <w:rsid w:val="00132553"/>
    <w:rsid w:val="00132E2F"/>
    <w:rsid w:val="00134CF3"/>
    <w:rsid w:val="00134E2F"/>
    <w:rsid w:val="001357EB"/>
    <w:rsid w:val="00135D6A"/>
    <w:rsid w:val="001370F9"/>
    <w:rsid w:val="00137A71"/>
    <w:rsid w:val="001413EC"/>
    <w:rsid w:val="00141FE9"/>
    <w:rsid w:val="00144CC5"/>
    <w:rsid w:val="001474B3"/>
    <w:rsid w:val="00150877"/>
    <w:rsid w:val="001509C0"/>
    <w:rsid w:val="001530CD"/>
    <w:rsid w:val="0015347D"/>
    <w:rsid w:val="0015380C"/>
    <w:rsid w:val="0015572B"/>
    <w:rsid w:val="00157E09"/>
    <w:rsid w:val="001613B5"/>
    <w:rsid w:val="0016281D"/>
    <w:rsid w:val="00163873"/>
    <w:rsid w:val="00163B79"/>
    <w:rsid w:val="001676AE"/>
    <w:rsid w:val="001702B3"/>
    <w:rsid w:val="00170837"/>
    <w:rsid w:val="0018230C"/>
    <w:rsid w:val="00182542"/>
    <w:rsid w:val="001826EE"/>
    <w:rsid w:val="00184C8C"/>
    <w:rsid w:val="00185795"/>
    <w:rsid w:val="00187599"/>
    <w:rsid w:val="00190290"/>
    <w:rsid w:val="001913B6"/>
    <w:rsid w:val="00191EE4"/>
    <w:rsid w:val="001924F9"/>
    <w:rsid w:val="00193D60"/>
    <w:rsid w:val="00194959"/>
    <w:rsid w:val="001974FA"/>
    <w:rsid w:val="001A03E3"/>
    <w:rsid w:val="001A08AA"/>
    <w:rsid w:val="001A08C5"/>
    <w:rsid w:val="001A0E85"/>
    <w:rsid w:val="001A0F8B"/>
    <w:rsid w:val="001A445C"/>
    <w:rsid w:val="001A486E"/>
    <w:rsid w:val="001B0599"/>
    <w:rsid w:val="001B0B5E"/>
    <w:rsid w:val="001B2397"/>
    <w:rsid w:val="001B2AA8"/>
    <w:rsid w:val="001B4115"/>
    <w:rsid w:val="001B54C4"/>
    <w:rsid w:val="001B591B"/>
    <w:rsid w:val="001B6294"/>
    <w:rsid w:val="001B6373"/>
    <w:rsid w:val="001B63C1"/>
    <w:rsid w:val="001C057A"/>
    <w:rsid w:val="001C3292"/>
    <w:rsid w:val="001C3393"/>
    <w:rsid w:val="001C34BF"/>
    <w:rsid w:val="001C471D"/>
    <w:rsid w:val="001C53B8"/>
    <w:rsid w:val="001C5B6B"/>
    <w:rsid w:val="001C6EFE"/>
    <w:rsid w:val="001D0181"/>
    <w:rsid w:val="001D0A0C"/>
    <w:rsid w:val="001D4336"/>
    <w:rsid w:val="001D5AA9"/>
    <w:rsid w:val="001D6349"/>
    <w:rsid w:val="001D71C6"/>
    <w:rsid w:val="001E108C"/>
    <w:rsid w:val="001E1345"/>
    <w:rsid w:val="001E194D"/>
    <w:rsid w:val="001E3F28"/>
    <w:rsid w:val="001E4B3D"/>
    <w:rsid w:val="001E562B"/>
    <w:rsid w:val="001E790D"/>
    <w:rsid w:val="001F2876"/>
    <w:rsid w:val="001F5B98"/>
    <w:rsid w:val="001F68FF"/>
    <w:rsid w:val="001F7969"/>
    <w:rsid w:val="00200EE2"/>
    <w:rsid w:val="00201D0A"/>
    <w:rsid w:val="00204252"/>
    <w:rsid w:val="002048B0"/>
    <w:rsid w:val="00204EAC"/>
    <w:rsid w:val="00205073"/>
    <w:rsid w:val="002071C0"/>
    <w:rsid w:val="00210293"/>
    <w:rsid w:val="0021037E"/>
    <w:rsid w:val="002104B8"/>
    <w:rsid w:val="00213126"/>
    <w:rsid w:val="00214300"/>
    <w:rsid w:val="00215CCA"/>
    <w:rsid w:val="002170B6"/>
    <w:rsid w:val="00220046"/>
    <w:rsid w:val="00221ECA"/>
    <w:rsid w:val="002229DA"/>
    <w:rsid w:val="00224027"/>
    <w:rsid w:val="00227AA8"/>
    <w:rsid w:val="00230FFD"/>
    <w:rsid w:val="002311D4"/>
    <w:rsid w:val="002324B3"/>
    <w:rsid w:val="0023316E"/>
    <w:rsid w:val="002331FC"/>
    <w:rsid w:val="0023526A"/>
    <w:rsid w:val="0023534D"/>
    <w:rsid w:val="00235F4C"/>
    <w:rsid w:val="00236090"/>
    <w:rsid w:val="00236962"/>
    <w:rsid w:val="00241103"/>
    <w:rsid w:val="0024282A"/>
    <w:rsid w:val="002430D3"/>
    <w:rsid w:val="002463EF"/>
    <w:rsid w:val="0024648C"/>
    <w:rsid w:val="00251D61"/>
    <w:rsid w:val="002554F1"/>
    <w:rsid w:val="00255A36"/>
    <w:rsid w:val="002568C6"/>
    <w:rsid w:val="002577D6"/>
    <w:rsid w:val="00260A3E"/>
    <w:rsid w:val="00260A95"/>
    <w:rsid w:val="00262E18"/>
    <w:rsid w:val="00267333"/>
    <w:rsid w:val="002712FE"/>
    <w:rsid w:val="00271D3F"/>
    <w:rsid w:val="0027202A"/>
    <w:rsid w:val="00272B11"/>
    <w:rsid w:val="0027409F"/>
    <w:rsid w:val="00274219"/>
    <w:rsid w:val="00280B0C"/>
    <w:rsid w:val="00280F39"/>
    <w:rsid w:val="00282551"/>
    <w:rsid w:val="00282805"/>
    <w:rsid w:val="00285587"/>
    <w:rsid w:val="00285A82"/>
    <w:rsid w:val="00286696"/>
    <w:rsid w:val="002918BF"/>
    <w:rsid w:val="002922F8"/>
    <w:rsid w:val="002940BF"/>
    <w:rsid w:val="00294191"/>
    <w:rsid w:val="0029553E"/>
    <w:rsid w:val="00295697"/>
    <w:rsid w:val="002968BC"/>
    <w:rsid w:val="00297EA6"/>
    <w:rsid w:val="002A11F2"/>
    <w:rsid w:val="002A3B7B"/>
    <w:rsid w:val="002A47BF"/>
    <w:rsid w:val="002A4E1B"/>
    <w:rsid w:val="002A5A84"/>
    <w:rsid w:val="002A6CBE"/>
    <w:rsid w:val="002B080E"/>
    <w:rsid w:val="002B0ECC"/>
    <w:rsid w:val="002B2B82"/>
    <w:rsid w:val="002B2E82"/>
    <w:rsid w:val="002B45E1"/>
    <w:rsid w:val="002B69EF"/>
    <w:rsid w:val="002B77DE"/>
    <w:rsid w:val="002B7C87"/>
    <w:rsid w:val="002C2C1C"/>
    <w:rsid w:val="002C632A"/>
    <w:rsid w:val="002C6609"/>
    <w:rsid w:val="002D1CBF"/>
    <w:rsid w:val="002D2CD0"/>
    <w:rsid w:val="002D74C2"/>
    <w:rsid w:val="002E1697"/>
    <w:rsid w:val="002E296B"/>
    <w:rsid w:val="002E3D3B"/>
    <w:rsid w:val="002E3F0E"/>
    <w:rsid w:val="002E4607"/>
    <w:rsid w:val="002E4AEC"/>
    <w:rsid w:val="002E724E"/>
    <w:rsid w:val="002E747D"/>
    <w:rsid w:val="002E78A5"/>
    <w:rsid w:val="002F12CA"/>
    <w:rsid w:val="002F14C3"/>
    <w:rsid w:val="002F2537"/>
    <w:rsid w:val="002F2EE3"/>
    <w:rsid w:val="002F350F"/>
    <w:rsid w:val="002F4D6E"/>
    <w:rsid w:val="002F4FF9"/>
    <w:rsid w:val="002F5356"/>
    <w:rsid w:val="002F6DF3"/>
    <w:rsid w:val="003010BE"/>
    <w:rsid w:val="00303254"/>
    <w:rsid w:val="003042AA"/>
    <w:rsid w:val="00305A37"/>
    <w:rsid w:val="00305C98"/>
    <w:rsid w:val="00305F1D"/>
    <w:rsid w:val="00310C64"/>
    <w:rsid w:val="003119F4"/>
    <w:rsid w:val="00313BC2"/>
    <w:rsid w:val="00314306"/>
    <w:rsid w:val="00315417"/>
    <w:rsid w:val="003154D8"/>
    <w:rsid w:val="0032108A"/>
    <w:rsid w:val="003215B2"/>
    <w:rsid w:val="00323A79"/>
    <w:rsid w:val="00325DFA"/>
    <w:rsid w:val="00330BFF"/>
    <w:rsid w:val="00330D8B"/>
    <w:rsid w:val="00331161"/>
    <w:rsid w:val="0033160D"/>
    <w:rsid w:val="003328C6"/>
    <w:rsid w:val="0033392B"/>
    <w:rsid w:val="00333B8C"/>
    <w:rsid w:val="00333F75"/>
    <w:rsid w:val="00335246"/>
    <w:rsid w:val="00336AA6"/>
    <w:rsid w:val="00336C0C"/>
    <w:rsid w:val="00344059"/>
    <w:rsid w:val="00344655"/>
    <w:rsid w:val="00344DB3"/>
    <w:rsid w:val="003477C6"/>
    <w:rsid w:val="00350AEA"/>
    <w:rsid w:val="00351CA5"/>
    <w:rsid w:val="00354C2B"/>
    <w:rsid w:val="00355C77"/>
    <w:rsid w:val="003564E3"/>
    <w:rsid w:val="0036068E"/>
    <w:rsid w:val="0036206B"/>
    <w:rsid w:val="00362D00"/>
    <w:rsid w:val="00363D27"/>
    <w:rsid w:val="003659A4"/>
    <w:rsid w:val="00366A91"/>
    <w:rsid w:val="00367A12"/>
    <w:rsid w:val="00371CB1"/>
    <w:rsid w:val="00373DF5"/>
    <w:rsid w:val="00382687"/>
    <w:rsid w:val="00382A00"/>
    <w:rsid w:val="00383BB9"/>
    <w:rsid w:val="00384C52"/>
    <w:rsid w:val="00386D9F"/>
    <w:rsid w:val="00393585"/>
    <w:rsid w:val="00396447"/>
    <w:rsid w:val="00396F6B"/>
    <w:rsid w:val="003A579A"/>
    <w:rsid w:val="003A7649"/>
    <w:rsid w:val="003B0117"/>
    <w:rsid w:val="003B17C2"/>
    <w:rsid w:val="003B221A"/>
    <w:rsid w:val="003B341B"/>
    <w:rsid w:val="003B4534"/>
    <w:rsid w:val="003B6086"/>
    <w:rsid w:val="003B70BC"/>
    <w:rsid w:val="003B740C"/>
    <w:rsid w:val="003C28EA"/>
    <w:rsid w:val="003C4076"/>
    <w:rsid w:val="003C680A"/>
    <w:rsid w:val="003C6F42"/>
    <w:rsid w:val="003C7645"/>
    <w:rsid w:val="003D365D"/>
    <w:rsid w:val="003D48BD"/>
    <w:rsid w:val="003D4B73"/>
    <w:rsid w:val="003D6422"/>
    <w:rsid w:val="003D79D9"/>
    <w:rsid w:val="003E0D3B"/>
    <w:rsid w:val="003E266E"/>
    <w:rsid w:val="003E3739"/>
    <w:rsid w:val="003E402E"/>
    <w:rsid w:val="003E4034"/>
    <w:rsid w:val="003E41FF"/>
    <w:rsid w:val="003E6AEB"/>
    <w:rsid w:val="003E6E07"/>
    <w:rsid w:val="003E6F4A"/>
    <w:rsid w:val="003E70C9"/>
    <w:rsid w:val="003E776A"/>
    <w:rsid w:val="003F0E66"/>
    <w:rsid w:val="003F0E94"/>
    <w:rsid w:val="003F51B7"/>
    <w:rsid w:val="003F7AEB"/>
    <w:rsid w:val="003F7B1C"/>
    <w:rsid w:val="003F7F41"/>
    <w:rsid w:val="00400C91"/>
    <w:rsid w:val="00402FC6"/>
    <w:rsid w:val="00402FD2"/>
    <w:rsid w:val="00405799"/>
    <w:rsid w:val="00410899"/>
    <w:rsid w:val="004110A1"/>
    <w:rsid w:val="00413841"/>
    <w:rsid w:val="00415584"/>
    <w:rsid w:val="004164D8"/>
    <w:rsid w:val="00416F83"/>
    <w:rsid w:val="00416FF0"/>
    <w:rsid w:val="00417DC3"/>
    <w:rsid w:val="00420D52"/>
    <w:rsid w:val="00422413"/>
    <w:rsid w:val="00422B65"/>
    <w:rsid w:val="00422D43"/>
    <w:rsid w:val="0042307B"/>
    <w:rsid w:val="00425E3B"/>
    <w:rsid w:val="00426A18"/>
    <w:rsid w:val="004306B3"/>
    <w:rsid w:val="004319D6"/>
    <w:rsid w:val="0043220D"/>
    <w:rsid w:val="00432516"/>
    <w:rsid w:val="00432957"/>
    <w:rsid w:val="004342BA"/>
    <w:rsid w:val="00434F20"/>
    <w:rsid w:val="0043649F"/>
    <w:rsid w:val="00436FC0"/>
    <w:rsid w:val="0044020A"/>
    <w:rsid w:val="004430E5"/>
    <w:rsid w:val="004447ED"/>
    <w:rsid w:val="00445654"/>
    <w:rsid w:val="00450068"/>
    <w:rsid w:val="00454047"/>
    <w:rsid w:val="004542E6"/>
    <w:rsid w:val="00455372"/>
    <w:rsid w:val="00455482"/>
    <w:rsid w:val="00457123"/>
    <w:rsid w:val="004601D1"/>
    <w:rsid w:val="00460EAF"/>
    <w:rsid w:val="004623B0"/>
    <w:rsid w:val="004633C8"/>
    <w:rsid w:val="00467866"/>
    <w:rsid w:val="00470324"/>
    <w:rsid w:val="00470543"/>
    <w:rsid w:val="00470D54"/>
    <w:rsid w:val="00470ED4"/>
    <w:rsid w:val="00471EFA"/>
    <w:rsid w:val="00473BA0"/>
    <w:rsid w:val="0047465C"/>
    <w:rsid w:val="00474779"/>
    <w:rsid w:val="00475418"/>
    <w:rsid w:val="00475DF9"/>
    <w:rsid w:val="004767AD"/>
    <w:rsid w:val="00476EE3"/>
    <w:rsid w:val="0047774B"/>
    <w:rsid w:val="004815CC"/>
    <w:rsid w:val="00482D01"/>
    <w:rsid w:val="004844EF"/>
    <w:rsid w:val="0048782D"/>
    <w:rsid w:val="0049083D"/>
    <w:rsid w:val="004908FF"/>
    <w:rsid w:val="00490F54"/>
    <w:rsid w:val="0049155E"/>
    <w:rsid w:val="00491820"/>
    <w:rsid w:val="00491F6C"/>
    <w:rsid w:val="00492BF8"/>
    <w:rsid w:val="00493EB9"/>
    <w:rsid w:val="004B2342"/>
    <w:rsid w:val="004B38B8"/>
    <w:rsid w:val="004B3C98"/>
    <w:rsid w:val="004B3D65"/>
    <w:rsid w:val="004B44C5"/>
    <w:rsid w:val="004B4648"/>
    <w:rsid w:val="004B46F2"/>
    <w:rsid w:val="004B4EC5"/>
    <w:rsid w:val="004B5B32"/>
    <w:rsid w:val="004B5C6A"/>
    <w:rsid w:val="004B6636"/>
    <w:rsid w:val="004B684D"/>
    <w:rsid w:val="004B77DF"/>
    <w:rsid w:val="004C073D"/>
    <w:rsid w:val="004C0BB4"/>
    <w:rsid w:val="004C3BBA"/>
    <w:rsid w:val="004C3C01"/>
    <w:rsid w:val="004C5B86"/>
    <w:rsid w:val="004C60A8"/>
    <w:rsid w:val="004D05AD"/>
    <w:rsid w:val="004D1BC0"/>
    <w:rsid w:val="004D2657"/>
    <w:rsid w:val="004D466E"/>
    <w:rsid w:val="004D6BAB"/>
    <w:rsid w:val="004E281E"/>
    <w:rsid w:val="004E29F4"/>
    <w:rsid w:val="004E2F04"/>
    <w:rsid w:val="004E398B"/>
    <w:rsid w:val="004E3B0C"/>
    <w:rsid w:val="004E576E"/>
    <w:rsid w:val="004F05EE"/>
    <w:rsid w:val="004F091B"/>
    <w:rsid w:val="004F3653"/>
    <w:rsid w:val="004F77BC"/>
    <w:rsid w:val="004F79C1"/>
    <w:rsid w:val="004F7B4C"/>
    <w:rsid w:val="00500558"/>
    <w:rsid w:val="00500DC9"/>
    <w:rsid w:val="00501E8A"/>
    <w:rsid w:val="00504258"/>
    <w:rsid w:val="00504DDE"/>
    <w:rsid w:val="0050667A"/>
    <w:rsid w:val="005069A3"/>
    <w:rsid w:val="005137E3"/>
    <w:rsid w:val="00513DB6"/>
    <w:rsid w:val="00515213"/>
    <w:rsid w:val="00515A54"/>
    <w:rsid w:val="00516519"/>
    <w:rsid w:val="005176B1"/>
    <w:rsid w:val="00520CD8"/>
    <w:rsid w:val="005213DA"/>
    <w:rsid w:val="005266F9"/>
    <w:rsid w:val="00527B9E"/>
    <w:rsid w:val="00527E42"/>
    <w:rsid w:val="00530993"/>
    <w:rsid w:val="0053313D"/>
    <w:rsid w:val="005338BC"/>
    <w:rsid w:val="005342BA"/>
    <w:rsid w:val="005361B4"/>
    <w:rsid w:val="0053700C"/>
    <w:rsid w:val="005371F8"/>
    <w:rsid w:val="00541328"/>
    <w:rsid w:val="00541C09"/>
    <w:rsid w:val="005428DE"/>
    <w:rsid w:val="00544959"/>
    <w:rsid w:val="00544AC3"/>
    <w:rsid w:val="00545C69"/>
    <w:rsid w:val="00546EF8"/>
    <w:rsid w:val="0054725B"/>
    <w:rsid w:val="005476F4"/>
    <w:rsid w:val="00547FAD"/>
    <w:rsid w:val="00552E65"/>
    <w:rsid w:val="0055322F"/>
    <w:rsid w:val="00553246"/>
    <w:rsid w:val="005544C8"/>
    <w:rsid w:val="005545C4"/>
    <w:rsid w:val="00556E04"/>
    <w:rsid w:val="00556EFD"/>
    <w:rsid w:val="005602F8"/>
    <w:rsid w:val="00560934"/>
    <w:rsid w:val="005633DA"/>
    <w:rsid w:val="00564E2E"/>
    <w:rsid w:val="00566008"/>
    <w:rsid w:val="00567CFB"/>
    <w:rsid w:val="00570ABE"/>
    <w:rsid w:val="00570D8C"/>
    <w:rsid w:val="00571F04"/>
    <w:rsid w:val="0057233C"/>
    <w:rsid w:val="005739E9"/>
    <w:rsid w:val="00573AAB"/>
    <w:rsid w:val="00577125"/>
    <w:rsid w:val="0057739A"/>
    <w:rsid w:val="00580575"/>
    <w:rsid w:val="00580A15"/>
    <w:rsid w:val="005821B7"/>
    <w:rsid w:val="00583508"/>
    <w:rsid w:val="0058421E"/>
    <w:rsid w:val="0058603C"/>
    <w:rsid w:val="005869DC"/>
    <w:rsid w:val="0059031C"/>
    <w:rsid w:val="005926A2"/>
    <w:rsid w:val="00592AA0"/>
    <w:rsid w:val="00592C75"/>
    <w:rsid w:val="005933C8"/>
    <w:rsid w:val="00594025"/>
    <w:rsid w:val="005941B8"/>
    <w:rsid w:val="0059673E"/>
    <w:rsid w:val="0059773F"/>
    <w:rsid w:val="005A2660"/>
    <w:rsid w:val="005A40F8"/>
    <w:rsid w:val="005A4361"/>
    <w:rsid w:val="005A4930"/>
    <w:rsid w:val="005A6CBB"/>
    <w:rsid w:val="005A7175"/>
    <w:rsid w:val="005B01E5"/>
    <w:rsid w:val="005B09D6"/>
    <w:rsid w:val="005B0CB5"/>
    <w:rsid w:val="005B224A"/>
    <w:rsid w:val="005B341D"/>
    <w:rsid w:val="005C422D"/>
    <w:rsid w:val="005C49F2"/>
    <w:rsid w:val="005C4D16"/>
    <w:rsid w:val="005C4F98"/>
    <w:rsid w:val="005C5A14"/>
    <w:rsid w:val="005C61AB"/>
    <w:rsid w:val="005C776A"/>
    <w:rsid w:val="005D07BD"/>
    <w:rsid w:val="005D2ABE"/>
    <w:rsid w:val="005D4616"/>
    <w:rsid w:val="005D4F2C"/>
    <w:rsid w:val="005E12E2"/>
    <w:rsid w:val="005E266F"/>
    <w:rsid w:val="005E3459"/>
    <w:rsid w:val="005E3D3B"/>
    <w:rsid w:val="005E3F6D"/>
    <w:rsid w:val="005E751B"/>
    <w:rsid w:val="005F02BD"/>
    <w:rsid w:val="005F0C4F"/>
    <w:rsid w:val="005F1123"/>
    <w:rsid w:val="005F198E"/>
    <w:rsid w:val="005F22DD"/>
    <w:rsid w:val="005F4FB1"/>
    <w:rsid w:val="005F508C"/>
    <w:rsid w:val="005F571C"/>
    <w:rsid w:val="00601557"/>
    <w:rsid w:val="006041EF"/>
    <w:rsid w:val="00604289"/>
    <w:rsid w:val="006047E6"/>
    <w:rsid w:val="006050D8"/>
    <w:rsid w:val="0061501E"/>
    <w:rsid w:val="006153E3"/>
    <w:rsid w:val="00615E46"/>
    <w:rsid w:val="00616CBB"/>
    <w:rsid w:val="0061760D"/>
    <w:rsid w:val="00617D00"/>
    <w:rsid w:val="00620A54"/>
    <w:rsid w:val="00622F5E"/>
    <w:rsid w:val="006245E6"/>
    <w:rsid w:val="00624E03"/>
    <w:rsid w:val="0062567B"/>
    <w:rsid w:val="00627398"/>
    <w:rsid w:val="006275E3"/>
    <w:rsid w:val="006308E4"/>
    <w:rsid w:val="00634597"/>
    <w:rsid w:val="00635FC2"/>
    <w:rsid w:val="00636448"/>
    <w:rsid w:val="00640682"/>
    <w:rsid w:val="0064085A"/>
    <w:rsid w:val="00643749"/>
    <w:rsid w:val="00643C63"/>
    <w:rsid w:val="006464FC"/>
    <w:rsid w:val="00650076"/>
    <w:rsid w:val="00654BEC"/>
    <w:rsid w:val="006605A4"/>
    <w:rsid w:val="00660A10"/>
    <w:rsid w:val="00662633"/>
    <w:rsid w:val="00663EE6"/>
    <w:rsid w:val="00670449"/>
    <w:rsid w:val="0067221A"/>
    <w:rsid w:val="0067286F"/>
    <w:rsid w:val="0067304D"/>
    <w:rsid w:val="00673443"/>
    <w:rsid w:val="00673744"/>
    <w:rsid w:val="00673B24"/>
    <w:rsid w:val="00673C7A"/>
    <w:rsid w:val="00675AB5"/>
    <w:rsid w:val="0067724E"/>
    <w:rsid w:val="00680260"/>
    <w:rsid w:val="00680CC9"/>
    <w:rsid w:val="00682841"/>
    <w:rsid w:val="00684571"/>
    <w:rsid w:val="00685211"/>
    <w:rsid w:val="0069003F"/>
    <w:rsid w:val="00693A7F"/>
    <w:rsid w:val="006940D9"/>
    <w:rsid w:val="00696995"/>
    <w:rsid w:val="00697230"/>
    <w:rsid w:val="006A192D"/>
    <w:rsid w:val="006A48E5"/>
    <w:rsid w:val="006A497B"/>
    <w:rsid w:val="006A7C59"/>
    <w:rsid w:val="006B2695"/>
    <w:rsid w:val="006B5359"/>
    <w:rsid w:val="006B5DA4"/>
    <w:rsid w:val="006B7233"/>
    <w:rsid w:val="006B7E27"/>
    <w:rsid w:val="006C4140"/>
    <w:rsid w:val="006C5162"/>
    <w:rsid w:val="006C5898"/>
    <w:rsid w:val="006C5936"/>
    <w:rsid w:val="006C6456"/>
    <w:rsid w:val="006C74A8"/>
    <w:rsid w:val="006D0094"/>
    <w:rsid w:val="006D34EC"/>
    <w:rsid w:val="006D39A2"/>
    <w:rsid w:val="006D3FE8"/>
    <w:rsid w:val="006D646C"/>
    <w:rsid w:val="006D7F7C"/>
    <w:rsid w:val="006E0BD3"/>
    <w:rsid w:val="006E50F5"/>
    <w:rsid w:val="006E6C34"/>
    <w:rsid w:val="006F1040"/>
    <w:rsid w:val="006F1C76"/>
    <w:rsid w:val="006F1FD8"/>
    <w:rsid w:val="006F2920"/>
    <w:rsid w:val="006F346C"/>
    <w:rsid w:val="006F5974"/>
    <w:rsid w:val="006F5E1A"/>
    <w:rsid w:val="006F6458"/>
    <w:rsid w:val="006F6F04"/>
    <w:rsid w:val="006F7052"/>
    <w:rsid w:val="006F747F"/>
    <w:rsid w:val="00700AB2"/>
    <w:rsid w:val="00700B09"/>
    <w:rsid w:val="00701034"/>
    <w:rsid w:val="00701143"/>
    <w:rsid w:val="007012A5"/>
    <w:rsid w:val="00702F5D"/>
    <w:rsid w:val="00703AF2"/>
    <w:rsid w:val="007040DB"/>
    <w:rsid w:val="00712851"/>
    <w:rsid w:val="00713174"/>
    <w:rsid w:val="007166A7"/>
    <w:rsid w:val="00717F25"/>
    <w:rsid w:val="00720216"/>
    <w:rsid w:val="0072054A"/>
    <w:rsid w:val="00721D70"/>
    <w:rsid w:val="007301BC"/>
    <w:rsid w:val="0073238B"/>
    <w:rsid w:val="00732570"/>
    <w:rsid w:val="007325E1"/>
    <w:rsid w:val="00732B43"/>
    <w:rsid w:val="00733179"/>
    <w:rsid w:val="007333FE"/>
    <w:rsid w:val="0073384F"/>
    <w:rsid w:val="00734515"/>
    <w:rsid w:val="0073529F"/>
    <w:rsid w:val="007353C0"/>
    <w:rsid w:val="007353E3"/>
    <w:rsid w:val="00735E9C"/>
    <w:rsid w:val="0073681C"/>
    <w:rsid w:val="00736856"/>
    <w:rsid w:val="00741675"/>
    <w:rsid w:val="00742B25"/>
    <w:rsid w:val="00743876"/>
    <w:rsid w:val="0074466A"/>
    <w:rsid w:val="00745DDD"/>
    <w:rsid w:val="007464B8"/>
    <w:rsid w:val="00747FA9"/>
    <w:rsid w:val="00750502"/>
    <w:rsid w:val="007525A0"/>
    <w:rsid w:val="0075310F"/>
    <w:rsid w:val="00754091"/>
    <w:rsid w:val="007543F1"/>
    <w:rsid w:val="00757836"/>
    <w:rsid w:val="00761DF9"/>
    <w:rsid w:val="00764186"/>
    <w:rsid w:val="007646C9"/>
    <w:rsid w:val="0076617A"/>
    <w:rsid w:val="007711E7"/>
    <w:rsid w:val="00771ADB"/>
    <w:rsid w:val="00771E3B"/>
    <w:rsid w:val="0077273D"/>
    <w:rsid w:val="00772DE0"/>
    <w:rsid w:val="00773800"/>
    <w:rsid w:val="007738E7"/>
    <w:rsid w:val="00774D89"/>
    <w:rsid w:val="00777417"/>
    <w:rsid w:val="007806D0"/>
    <w:rsid w:val="007813C0"/>
    <w:rsid w:val="007821E6"/>
    <w:rsid w:val="0078479A"/>
    <w:rsid w:val="007864D7"/>
    <w:rsid w:val="00790884"/>
    <w:rsid w:val="00794EB2"/>
    <w:rsid w:val="007950E9"/>
    <w:rsid w:val="00795E71"/>
    <w:rsid w:val="00797A6A"/>
    <w:rsid w:val="00797BC0"/>
    <w:rsid w:val="007A072D"/>
    <w:rsid w:val="007A4F0D"/>
    <w:rsid w:val="007A5D65"/>
    <w:rsid w:val="007A7952"/>
    <w:rsid w:val="007B0DAF"/>
    <w:rsid w:val="007B1544"/>
    <w:rsid w:val="007B1619"/>
    <w:rsid w:val="007B1F03"/>
    <w:rsid w:val="007B25BD"/>
    <w:rsid w:val="007B33A3"/>
    <w:rsid w:val="007C22B0"/>
    <w:rsid w:val="007C32BA"/>
    <w:rsid w:val="007C3B00"/>
    <w:rsid w:val="007C40F2"/>
    <w:rsid w:val="007C48C6"/>
    <w:rsid w:val="007C732F"/>
    <w:rsid w:val="007D0A50"/>
    <w:rsid w:val="007D3BC5"/>
    <w:rsid w:val="007D3F06"/>
    <w:rsid w:val="007D3F95"/>
    <w:rsid w:val="007D4246"/>
    <w:rsid w:val="007D60A7"/>
    <w:rsid w:val="007E0508"/>
    <w:rsid w:val="007E0AF9"/>
    <w:rsid w:val="007E625E"/>
    <w:rsid w:val="007E7DE2"/>
    <w:rsid w:val="007F0263"/>
    <w:rsid w:val="007F3796"/>
    <w:rsid w:val="007F44C2"/>
    <w:rsid w:val="007F570B"/>
    <w:rsid w:val="007F677F"/>
    <w:rsid w:val="007F69A0"/>
    <w:rsid w:val="0080143B"/>
    <w:rsid w:val="00802697"/>
    <w:rsid w:val="008032C7"/>
    <w:rsid w:val="00803886"/>
    <w:rsid w:val="0080477F"/>
    <w:rsid w:val="00805009"/>
    <w:rsid w:val="0080783E"/>
    <w:rsid w:val="00813CC5"/>
    <w:rsid w:val="00814577"/>
    <w:rsid w:val="00814BB1"/>
    <w:rsid w:val="0081616A"/>
    <w:rsid w:val="0081741F"/>
    <w:rsid w:val="008206C6"/>
    <w:rsid w:val="00820ACF"/>
    <w:rsid w:val="008219D6"/>
    <w:rsid w:val="00822264"/>
    <w:rsid w:val="00823208"/>
    <w:rsid w:val="00824E91"/>
    <w:rsid w:val="00825530"/>
    <w:rsid w:val="00826321"/>
    <w:rsid w:val="008321E7"/>
    <w:rsid w:val="00834223"/>
    <w:rsid w:val="00834290"/>
    <w:rsid w:val="00834CA4"/>
    <w:rsid w:val="00836271"/>
    <w:rsid w:val="00836410"/>
    <w:rsid w:val="008413B2"/>
    <w:rsid w:val="00841EB9"/>
    <w:rsid w:val="008438C8"/>
    <w:rsid w:val="0084406A"/>
    <w:rsid w:val="0084433F"/>
    <w:rsid w:val="00845376"/>
    <w:rsid w:val="00846C29"/>
    <w:rsid w:val="0085031A"/>
    <w:rsid w:val="008521F7"/>
    <w:rsid w:val="00856E87"/>
    <w:rsid w:val="00860406"/>
    <w:rsid w:val="008610AA"/>
    <w:rsid w:val="00864AA1"/>
    <w:rsid w:val="00864AB2"/>
    <w:rsid w:val="00865A93"/>
    <w:rsid w:val="00866A15"/>
    <w:rsid w:val="00867561"/>
    <w:rsid w:val="00870DB0"/>
    <w:rsid w:val="00872641"/>
    <w:rsid w:val="00875A78"/>
    <w:rsid w:val="00881BA1"/>
    <w:rsid w:val="00883FC6"/>
    <w:rsid w:val="00885A4E"/>
    <w:rsid w:val="008860A8"/>
    <w:rsid w:val="00887230"/>
    <w:rsid w:val="008905A9"/>
    <w:rsid w:val="00890BE7"/>
    <w:rsid w:val="0089510D"/>
    <w:rsid w:val="00895C6E"/>
    <w:rsid w:val="00895F9E"/>
    <w:rsid w:val="0089762B"/>
    <w:rsid w:val="00897D64"/>
    <w:rsid w:val="008A2A4B"/>
    <w:rsid w:val="008A363B"/>
    <w:rsid w:val="008A4171"/>
    <w:rsid w:val="008A68AF"/>
    <w:rsid w:val="008A6E4D"/>
    <w:rsid w:val="008A7BFD"/>
    <w:rsid w:val="008B0345"/>
    <w:rsid w:val="008B0B73"/>
    <w:rsid w:val="008B0BF7"/>
    <w:rsid w:val="008B265F"/>
    <w:rsid w:val="008B32B3"/>
    <w:rsid w:val="008B55D4"/>
    <w:rsid w:val="008B74BC"/>
    <w:rsid w:val="008C2B8B"/>
    <w:rsid w:val="008C3A11"/>
    <w:rsid w:val="008C3CDF"/>
    <w:rsid w:val="008C462F"/>
    <w:rsid w:val="008C4A3E"/>
    <w:rsid w:val="008C52F4"/>
    <w:rsid w:val="008C5BB3"/>
    <w:rsid w:val="008D0181"/>
    <w:rsid w:val="008D3103"/>
    <w:rsid w:val="008D58C5"/>
    <w:rsid w:val="008D6DA1"/>
    <w:rsid w:val="008E2977"/>
    <w:rsid w:val="008E434E"/>
    <w:rsid w:val="008E536B"/>
    <w:rsid w:val="008E5658"/>
    <w:rsid w:val="008E6166"/>
    <w:rsid w:val="008E69B2"/>
    <w:rsid w:val="008E726D"/>
    <w:rsid w:val="008E7568"/>
    <w:rsid w:val="008F07CB"/>
    <w:rsid w:val="008F0FB4"/>
    <w:rsid w:val="008F293F"/>
    <w:rsid w:val="008F3880"/>
    <w:rsid w:val="008F5A2F"/>
    <w:rsid w:val="008F780A"/>
    <w:rsid w:val="0090066C"/>
    <w:rsid w:val="00903DC2"/>
    <w:rsid w:val="00904CE1"/>
    <w:rsid w:val="00904F92"/>
    <w:rsid w:val="00911267"/>
    <w:rsid w:val="00912007"/>
    <w:rsid w:val="00914FF4"/>
    <w:rsid w:val="00916B7C"/>
    <w:rsid w:val="009172B9"/>
    <w:rsid w:val="00922348"/>
    <w:rsid w:val="009225CF"/>
    <w:rsid w:val="00923140"/>
    <w:rsid w:val="00925892"/>
    <w:rsid w:val="00925924"/>
    <w:rsid w:val="00925D3C"/>
    <w:rsid w:val="00932C33"/>
    <w:rsid w:val="00933350"/>
    <w:rsid w:val="00933B29"/>
    <w:rsid w:val="00934EA9"/>
    <w:rsid w:val="009413D0"/>
    <w:rsid w:val="00943BF3"/>
    <w:rsid w:val="00944415"/>
    <w:rsid w:val="00945012"/>
    <w:rsid w:val="009452E7"/>
    <w:rsid w:val="00951283"/>
    <w:rsid w:val="00953E5B"/>
    <w:rsid w:val="0095558B"/>
    <w:rsid w:val="00960FED"/>
    <w:rsid w:val="009613C3"/>
    <w:rsid w:val="00965BA5"/>
    <w:rsid w:val="00970D3D"/>
    <w:rsid w:val="00971B60"/>
    <w:rsid w:val="00973F4F"/>
    <w:rsid w:val="0097480B"/>
    <w:rsid w:val="00975731"/>
    <w:rsid w:val="00976993"/>
    <w:rsid w:val="009807F0"/>
    <w:rsid w:val="00981C14"/>
    <w:rsid w:val="0098213E"/>
    <w:rsid w:val="00983A8E"/>
    <w:rsid w:val="00983E53"/>
    <w:rsid w:val="009845B7"/>
    <w:rsid w:val="00984C90"/>
    <w:rsid w:val="00984EBA"/>
    <w:rsid w:val="00985EE9"/>
    <w:rsid w:val="00986081"/>
    <w:rsid w:val="0099627B"/>
    <w:rsid w:val="00997AAC"/>
    <w:rsid w:val="009A01DB"/>
    <w:rsid w:val="009A1E2E"/>
    <w:rsid w:val="009A1EC2"/>
    <w:rsid w:val="009A2F00"/>
    <w:rsid w:val="009A3F35"/>
    <w:rsid w:val="009A3F63"/>
    <w:rsid w:val="009B3D1E"/>
    <w:rsid w:val="009B4A2A"/>
    <w:rsid w:val="009B5275"/>
    <w:rsid w:val="009B5F55"/>
    <w:rsid w:val="009C1D37"/>
    <w:rsid w:val="009C723B"/>
    <w:rsid w:val="009D03A4"/>
    <w:rsid w:val="009D1F8D"/>
    <w:rsid w:val="009D26D9"/>
    <w:rsid w:val="009D3443"/>
    <w:rsid w:val="009D4E7B"/>
    <w:rsid w:val="009D6EFC"/>
    <w:rsid w:val="009E237A"/>
    <w:rsid w:val="009E3BA2"/>
    <w:rsid w:val="009E3BD5"/>
    <w:rsid w:val="009E5308"/>
    <w:rsid w:val="009F2A3F"/>
    <w:rsid w:val="009F2EBA"/>
    <w:rsid w:val="009F6110"/>
    <w:rsid w:val="00A000A4"/>
    <w:rsid w:val="00A04067"/>
    <w:rsid w:val="00A04853"/>
    <w:rsid w:val="00A05443"/>
    <w:rsid w:val="00A13C0B"/>
    <w:rsid w:val="00A161ED"/>
    <w:rsid w:val="00A20700"/>
    <w:rsid w:val="00A22531"/>
    <w:rsid w:val="00A2391E"/>
    <w:rsid w:val="00A26C4F"/>
    <w:rsid w:val="00A31FC9"/>
    <w:rsid w:val="00A324FB"/>
    <w:rsid w:val="00A325C8"/>
    <w:rsid w:val="00A32962"/>
    <w:rsid w:val="00A331F5"/>
    <w:rsid w:val="00A338B5"/>
    <w:rsid w:val="00A33F23"/>
    <w:rsid w:val="00A37156"/>
    <w:rsid w:val="00A37A3B"/>
    <w:rsid w:val="00A40626"/>
    <w:rsid w:val="00A40BCC"/>
    <w:rsid w:val="00A417F7"/>
    <w:rsid w:val="00A42ADF"/>
    <w:rsid w:val="00A433CF"/>
    <w:rsid w:val="00A44063"/>
    <w:rsid w:val="00A4581D"/>
    <w:rsid w:val="00A46ABF"/>
    <w:rsid w:val="00A47CC2"/>
    <w:rsid w:val="00A503E3"/>
    <w:rsid w:val="00A50651"/>
    <w:rsid w:val="00A52581"/>
    <w:rsid w:val="00A52BCB"/>
    <w:rsid w:val="00A53FCA"/>
    <w:rsid w:val="00A56B3E"/>
    <w:rsid w:val="00A57FDD"/>
    <w:rsid w:val="00A60DFA"/>
    <w:rsid w:val="00A65821"/>
    <w:rsid w:val="00A66F7C"/>
    <w:rsid w:val="00A678AD"/>
    <w:rsid w:val="00A742A1"/>
    <w:rsid w:val="00A75EB1"/>
    <w:rsid w:val="00A77341"/>
    <w:rsid w:val="00A82A08"/>
    <w:rsid w:val="00A84C31"/>
    <w:rsid w:val="00A86ADB"/>
    <w:rsid w:val="00A87313"/>
    <w:rsid w:val="00A87FD9"/>
    <w:rsid w:val="00A90458"/>
    <w:rsid w:val="00A92BEA"/>
    <w:rsid w:val="00A92EB1"/>
    <w:rsid w:val="00A930A6"/>
    <w:rsid w:val="00A9377A"/>
    <w:rsid w:val="00A94B28"/>
    <w:rsid w:val="00A95217"/>
    <w:rsid w:val="00AA0C9F"/>
    <w:rsid w:val="00AA208E"/>
    <w:rsid w:val="00AB05A9"/>
    <w:rsid w:val="00AB2A7B"/>
    <w:rsid w:val="00AB2DAD"/>
    <w:rsid w:val="00AB324F"/>
    <w:rsid w:val="00AB4058"/>
    <w:rsid w:val="00AB40A3"/>
    <w:rsid w:val="00AB7892"/>
    <w:rsid w:val="00AC07A6"/>
    <w:rsid w:val="00AC1016"/>
    <w:rsid w:val="00AC19B8"/>
    <w:rsid w:val="00AC1B65"/>
    <w:rsid w:val="00AC3414"/>
    <w:rsid w:val="00AC3F76"/>
    <w:rsid w:val="00AC549A"/>
    <w:rsid w:val="00AC5D8E"/>
    <w:rsid w:val="00AC7869"/>
    <w:rsid w:val="00AD1CFD"/>
    <w:rsid w:val="00AD2F79"/>
    <w:rsid w:val="00AD3259"/>
    <w:rsid w:val="00AD3BFD"/>
    <w:rsid w:val="00AD4B17"/>
    <w:rsid w:val="00AD6F18"/>
    <w:rsid w:val="00AD7778"/>
    <w:rsid w:val="00AE038B"/>
    <w:rsid w:val="00AE2B27"/>
    <w:rsid w:val="00AE4F94"/>
    <w:rsid w:val="00AE6346"/>
    <w:rsid w:val="00AE6380"/>
    <w:rsid w:val="00AE63C0"/>
    <w:rsid w:val="00AE7473"/>
    <w:rsid w:val="00AF3206"/>
    <w:rsid w:val="00AF3F8C"/>
    <w:rsid w:val="00AF4989"/>
    <w:rsid w:val="00AF4FA9"/>
    <w:rsid w:val="00AF5BD0"/>
    <w:rsid w:val="00AF631D"/>
    <w:rsid w:val="00AF7AB8"/>
    <w:rsid w:val="00B01637"/>
    <w:rsid w:val="00B01713"/>
    <w:rsid w:val="00B03B9A"/>
    <w:rsid w:val="00B03F5B"/>
    <w:rsid w:val="00B060F7"/>
    <w:rsid w:val="00B064AA"/>
    <w:rsid w:val="00B065C7"/>
    <w:rsid w:val="00B06694"/>
    <w:rsid w:val="00B06911"/>
    <w:rsid w:val="00B0741E"/>
    <w:rsid w:val="00B078E0"/>
    <w:rsid w:val="00B1088A"/>
    <w:rsid w:val="00B10975"/>
    <w:rsid w:val="00B112C1"/>
    <w:rsid w:val="00B116CD"/>
    <w:rsid w:val="00B12118"/>
    <w:rsid w:val="00B1228D"/>
    <w:rsid w:val="00B12B34"/>
    <w:rsid w:val="00B12C2C"/>
    <w:rsid w:val="00B139CB"/>
    <w:rsid w:val="00B13AAB"/>
    <w:rsid w:val="00B16C50"/>
    <w:rsid w:val="00B17250"/>
    <w:rsid w:val="00B218F3"/>
    <w:rsid w:val="00B227D4"/>
    <w:rsid w:val="00B22B12"/>
    <w:rsid w:val="00B22BC5"/>
    <w:rsid w:val="00B23C3E"/>
    <w:rsid w:val="00B25982"/>
    <w:rsid w:val="00B26B54"/>
    <w:rsid w:val="00B27B1B"/>
    <w:rsid w:val="00B303D0"/>
    <w:rsid w:val="00B31E9A"/>
    <w:rsid w:val="00B327D1"/>
    <w:rsid w:val="00B33CF5"/>
    <w:rsid w:val="00B3448C"/>
    <w:rsid w:val="00B4165E"/>
    <w:rsid w:val="00B417C3"/>
    <w:rsid w:val="00B41C81"/>
    <w:rsid w:val="00B45D17"/>
    <w:rsid w:val="00B46070"/>
    <w:rsid w:val="00B46F45"/>
    <w:rsid w:val="00B52DCF"/>
    <w:rsid w:val="00B53BFA"/>
    <w:rsid w:val="00B5461D"/>
    <w:rsid w:val="00B54CE0"/>
    <w:rsid w:val="00B55091"/>
    <w:rsid w:val="00B55494"/>
    <w:rsid w:val="00B556CD"/>
    <w:rsid w:val="00B55B90"/>
    <w:rsid w:val="00B56CE0"/>
    <w:rsid w:val="00B6231F"/>
    <w:rsid w:val="00B62B44"/>
    <w:rsid w:val="00B63F8B"/>
    <w:rsid w:val="00B64AB5"/>
    <w:rsid w:val="00B6534C"/>
    <w:rsid w:val="00B654DC"/>
    <w:rsid w:val="00B65FFE"/>
    <w:rsid w:val="00B70121"/>
    <w:rsid w:val="00B7287E"/>
    <w:rsid w:val="00B732F4"/>
    <w:rsid w:val="00B74CCC"/>
    <w:rsid w:val="00B772BE"/>
    <w:rsid w:val="00B77AE6"/>
    <w:rsid w:val="00B80160"/>
    <w:rsid w:val="00B82C21"/>
    <w:rsid w:val="00B83449"/>
    <w:rsid w:val="00B836F7"/>
    <w:rsid w:val="00B8411D"/>
    <w:rsid w:val="00B84DFA"/>
    <w:rsid w:val="00B93156"/>
    <w:rsid w:val="00B936E0"/>
    <w:rsid w:val="00B945DC"/>
    <w:rsid w:val="00B94C63"/>
    <w:rsid w:val="00B94FC8"/>
    <w:rsid w:val="00B95BD9"/>
    <w:rsid w:val="00B96F4B"/>
    <w:rsid w:val="00BA03E6"/>
    <w:rsid w:val="00BA09C9"/>
    <w:rsid w:val="00BA1B84"/>
    <w:rsid w:val="00BA3883"/>
    <w:rsid w:val="00BA3E73"/>
    <w:rsid w:val="00BA771E"/>
    <w:rsid w:val="00BA7C69"/>
    <w:rsid w:val="00BB0308"/>
    <w:rsid w:val="00BB2BC7"/>
    <w:rsid w:val="00BB4F52"/>
    <w:rsid w:val="00BB6AF2"/>
    <w:rsid w:val="00BC39CF"/>
    <w:rsid w:val="00BC4545"/>
    <w:rsid w:val="00BC470E"/>
    <w:rsid w:val="00BC520B"/>
    <w:rsid w:val="00BC77FC"/>
    <w:rsid w:val="00BD267D"/>
    <w:rsid w:val="00BD2823"/>
    <w:rsid w:val="00BD3814"/>
    <w:rsid w:val="00BD4781"/>
    <w:rsid w:val="00BD5157"/>
    <w:rsid w:val="00BD5BEC"/>
    <w:rsid w:val="00BD75C5"/>
    <w:rsid w:val="00BE02ED"/>
    <w:rsid w:val="00BE1E14"/>
    <w:rsid w:val="00BE21A8"/>
    <w:rsid w:val="00BE29E2"/>
    <w:rsid w:val="00BE3484"/>
    <w:rsid w:val="00BE6BEA"/>
    <w:rsid w:val="00BF02E2"/>
    <w:rsid w:val="00BF46F0"/>
    <w:rsid w:val="00BF7035"/>
    <w:rsid w:val="00BF79CB"/>
    <w:rsid w:val="00C002C9"/>
    <w:rsid w:val="00C0219D"/>
    <w:rsid w:val="00C03FD3"/>
    <w:rsid w:val="00C07A8A"/>
    <w:rsid w:val="00C1061B"/>
    <w:rsid w:val="00C139A3"/>
    <w:rsid w:val="00C13E7D"/>
    <w:rsid w:val="00C147BE"/>
    <w:rsid w:val="00C16C39"/>
    <w:rsid w:val="00C16F56"/>
    <w:rsid w:val="00C175C8"/>
    <w:rsid w:val="00C200D6"/>
    <w:rsid w:val="00C2080A"/>
    <w:rsid w:val="00C22850"/>
    <w:rsid w:val="00C23B46"/>
    <w:rsid w:val="00C24616"/>
    <w:rsid w:val="00C26E8D"/>
    <w:rsid w:val="00C32516"/>
    <w:rsid w:val="00C3410D"/>
    <w:rsid w:val="00C34D1F"/>
    <w:rsid w:val="00C35219"/>
    <w:rsid w:val="00C359A6"/>
    <w:rsid w:val="00C35FE1"/>
    <w:rsid w:val="00C367BD"/>
    <w:rsid w:val="00C37E8E"/>
    <w:rsid w:val="00C51324"/>
    <w:rsid w:val="00C51838"/>
    <w:rsid w:val="00C5240A"/>
    <w:rsid w:val="00C53148"/>
    <w:rsid w:val="00C537D3"/>
    <w:rsid w:val="00C53E28"/>
    <w:rsid w:val="00C5414A"/>
    <w:rsid w:val="00C555E9"/>
    <w:rsid w:val="00C55AB8"/>
    <w:rsid w:val="00C62A98"/>
    <w:rsid w:val="00C657E2"/>
    <w:rsid w:val="00C65A38"/>
    <w:rsid w:val="00C65B2B"/>
    <w:rsid w:val="00C66579"/>
    <w:rsid w:val="00C67636"/>
    <w:rsid w:val="00C70158"/>
    <w:rsid w:val="00C703DC"/>
    <w:rsid w:val="00C72BFA"/>
    <w:rsid w:val="00C7397F"/>
    <w:rsid w:val="00C74AFB"/>
    <w:rsid w:val="00C758D2"/>
    <w:rsid w:val="00C75B4A"/>
    <w:rsid w:val="00C75EA6"/>
    <w:rsid w:val="00C764D3"/>
    <w:rsid w:val="00C77805"/>
    <w:rsid w:val="00C80286"/>
    <w:rsid w:val="00C814BE"/>
    <w:rsid w:val="00C826B4"/>
    <w:rsid w:val="00C841B7"/>
    <w:rsid w:val="00C84846"/>
    <w:rsid w:val="00C85E00"/>
    <w:rsid w:val="00C91045"/>
    <w:rsid w:val="00C926F4"/>
    <w:rsid w:val="00C94AB8"/>
    <w:rsid w:val="00C95897"/>
    <w:rsid w:val="00CA0770"/>
    <w:rsid w:val="00CA2E6F"/>
    <w:rsid w:val="00CA2F73"/>
    <w:rsid w:val="00CA317D"/>
    <w:rsid w:val="00CA3657"/>
    <w:rsid w:val="00CA3E73"/>
    <w:rsid w:val="00CA4AC6"/>
    <w:rsid w:val="00CA5664"/>
    <w:rsid w:val="00CA6DDB"/>
    <w:rsid w:val="00CB1135"/>
    <w:rsid w:val="00CB183F"/>
    <w:rsid w:val="00CB54DB"/>
    <w:rsid w:val="00CB6239"/>
    <w:rsid w:val="00CB72EE"/>
    <w:rsid w:val="00CC004A"/>
    <w:rsid w:val="00CC1460"/>
    <w:rsid w:val="00CC2DF7"/>
    <w:rsid w:val="00CC4119"/>
    <w:rsid w:val="00CC54BE"/>
    <w:rsid w:val="00CC5638"/>
    <w:rsid w:val="00CC69D9"/>
    <w:rsid w:val="00CC6F39"/>
    <w:rsid w:val="00CC7734"/>
    <w:rsid w:val="00CD500E"/>
    <w:rsid w:val="00CD60F5"/>
    <w:rsid w:val="00CD701F"/>
    <w:rsid w:val="00CE4793"/>
    <w:rsid w:val="00CE640D"/>
    <w:rsid w:val="00CE7AE8"/>
    <w:rsid w:val="00CF1CF1"/>
    <w:rsid w:val="00CF25EC"/>
    <w:rsid w:val="00CF7590"/>
    <w:rsid w:val="00D01ADE"/>
    <w:rsid w:val="00D01D7F"/>
    <w:rsid w:val="00D0249E"/>
    <w:rsid w:val="00D029D8"/>
    <w:rsid w:val="00D02A4A"/>
    <w:rsid w:val="00D02EF9"/>
    <w:rsid w:val="00D0470F"/>
    <w:rsid w:val="00D069CD"/>
    <w:rsid w:val="00D106C4"/>
    <w:rsid w:val="00D11C47"/>
    <w:rsid w:val="00D131DD"/>
    <w:rsid w:val="00D13F36"/>
    <w:rsid w:val="00D152B5"/>
    <w:rsid w:val="00D158F6"/>
    <w:rsid w:val="00D163E8"/>
    <w:rsid w:val="00D16F09"/>
    <w:rsid w:val="00D213E5"/>
    <w:rsid w:val="00D21805"/>
    <w:rsid w:val="00D224A2"/>
    <w:rsid w:val="00D239BC"/>
    <w:rsid w:val="00D23EE3"/>
    <w:rsid w:val="00D256B8"/>
    <w:rsid w:val="00D30846"/>
    <w:rsid w:val="00D310DA"/>
    <w:rsid w:val="00D32337"/>
    <w:rsid w:val="00D325AF"/>
    <w:rsid w:val="00D330B5"/>
    <w:rsid w:val="00D354A5"/>
    <w:rsid w:val="00D35724"/>
    <w:rsid w:val="00D41C21"/>
    <w:rsid w:val="00D42ED6"/>
    <w:rsid w:val="00D437D5"/>
    <w:rsid w:val="00D444F7"/>
    <w:rsid w:val="00D45F0F"/>
    <w:rsid w:val="00D46B0F"/>
    <w:rsid w:val="00D500E4"/>
    <w:rsid w:val="00D5124B"/>
    <w:rsid w:val="00D51B80"/>
    <w:rsid w:val="00D53592"/>
    <w:rsid w:val="00D53881"/>
    <w:rsid w:val="00D54278"/>
    <w:rsid w:val="00D548B8"/>
    <w:rsid w:val="00D5742E"/>
    <w:rsid w:val="00D60904"/>
    <w:rsid w:val="00D612F2"/>
    <w:rsid w:val="00D62728"/>
    <w:rsid w:val="00D63093"/>
    <w:rsid w:val="00D635C7"/>
    <w:rsid w:val="00D639BF"/>
    <w:rsid w:val="00D6491A"/>
    <w:rsid w:val="00D64989"/>
    <w:rsid w:val="00D656B2"/>
    <w:rsid w:val="00D663EA"/>
    <w:rsid w:val="00D67418"/>
    <w:rsid w:val="00D701C9"/>
    <w:rsid w:val="00D712D2"/>
    <w:rsid w:val="00D71D92"/>
    <w:rsid w:val="00D72845"/>
    <w:rsid w:val="00D728EE"/>
    <w:rsid w:val="00D73FE7"/>
    <w:rsid w:val="00D7620D"/>
    <w:rsid w:val="00D77AD5"/>
    <w:rsid w:val="00D80AFD"/>
    <w:rsid w:val="00D82142"/>
    <w:rsid w:val="00D84030"/>
    <w:rsid w:val="00D84063"/>
    <w:rsid w:val="00D85055"/>
    <w:rsid w:val="00D859B6"/>
    <w:rsid w:val="00D85A1A"/>
    <w:rsid w:val="00D877F4"/>
    <w:rsid w:val="00D92083"/>
    <w:rsid w:val="00D94F1F"/>
    <w:rsid w:val="00D96765"/>
    <w:rsid w:val="00D971F2"/>
    <w:rsid w:val="00D976F2"/>
    <w:rsid w:val="00D97882"/>
    <w:rsid w:val="00DA09D3"/>
    <w:rsid w:val="00DA17F0"/>
    <w:rsid w:val="00DA18E9"/>
    <w:rsid w:val="00DA196B"/>
    <w:rsid w:val="00DA1C56"/>
    <w:rsid w:val="00DA2881"/>
    <w:rsid w:val="00DA2BA6"/>
    <w:rsid w:val="00DA6097"/>
    <w:rsid w:val="00DA6CAD"/>
    <w:rsid w:val="00DA6EA7"/>
    <w:rsid w:val="00DA6F17"/>
    <w:rsid w:val="00DA7396"/>
    <w:rsid w:val="00DB01BA"/>
    <w:rsid w:val="00DB0C3C"/>
    <w:rsid w:val="00DB34DB"/>
    <w:rsid w:val="00DB56D5"/>
    <w:rsid w:val="00DB5F20"/>
    <w:rsid w:val="00DB76B3"/>
    <w:rsid w:val="00DC042E"/>
    <w:rsid w:val="00DC152A"/>
    <w:rsid w:val="00DC1BD7"/>
    <w:rsid w:val="00DC2748"/>
    <w:rsid w:val="00DC54A5"/>
    <w:rsid w:val="00DC6EFD"/>
    <w:rsid w:val="00DC7210"/>
    <w:rsid w:val="00DD012E"/>
    <w:rsid w:val="00DD079E"/>
    <w:rsid w:val="00DD0D72"/>
    <w:rsid w:val="00DD0DAE"/>
    <w:rsid w:val="00DD2026"/>
    <w:rsid w:val="00DD3A76"/>
    <w:rsid w:val="00DD3D8B"/>
    <w:rsid w:val="00DD5333"/>
    <w:rsid w:val="00DD6C7A"/>
    <w:rsid w:val="00DD7840"/>
    <w:rsid w:val="00DD79D6"/>
    <w:rsid w:val="00DE1391"/>
    <w:rsid w:val="00DE2AD0"/>
    <w:rsid w:val="00DE478C"/>
    <w:rsid w:val="00DE4F6F"/>
    <w:rsid w:val="00DE5DD7"/>
    <w:rsid w:val="00DE603F"/>
    <w:rsid w:val="00DE626E"/>
    <w:rsid w:val="00DF0847"/>
    <w:rsid w:val="00DF0D36"/>
    <w:rsid w:val="00DF1CE1"/>
    <w:rsid w:val="00DF2534"/>
    <w:rsid w:val="00DF6F84"/>
    <w:rsid w:val="00DF78AA"/>
    <w:rsid w:val="00E0176C"/>
    <w:rsid w:val="00E02118"/>
    <w:rsid w:val="00E033C5"/>
    <w:rsid w:val="00E036A5"/>
    <w:rsid w:val="00E03A1A"/>
    <w:rsid w:val="00E06D31"/>
    <w:rsid w:val="00E10557"/>
    <w:rsid w:val="00E10BB3"/>
    <w:rsid w:val="00E11101"/>
    <w:rsid w:val="00E113B9"/>
    <w:rsid w:val="00E11C19"/>
    <w:rsid w:val="00E11E54"/>
    <w:rsid w:val="00E1267E"/>
    <w:rsid w:val="00E12D12"/>
    <w:rsid w:val="00E17592"/>
    <w:rsid w:val="00E177F1"/>
    <w:rsid w:val="00E17911"/>
    <w:rsid w:val="00E202C9"/>
    <w:rsid w:val="00E23752"/>
    <w:rsid w:val="00E2590D"/>
    <w:rsid w:val="00E30DD6"/>
    <w:rsid w:val="00E3375F"/>
    <w:rsid w:val="00E34BA3"/>
    <w:rsid w:val="00E34E5A"/>
    <w:rsid w:val="00E428FF"/>
    <w:rsid w:val="00E42AFC"/>
    <w:rsid w:val="00E469F4"/>
    <w:rsid w:val="00E50044"/>
    <w:rsid w:val="00E5335D"/>
    <w:rsid w:val="00E55F07"/>
    <w:rsid w:val="00E56BC4"/>
    <w:rsid w:val="00E56DAB"/>
    <w:rsid w:val="00E57F3C"/>
    <w:rsid w:val="00E641F9"/>
    <w:rsid w:val="00E66C1E"/>
    <w:rsid w:val="00E671E2"/>
    <w:rsid w:val="00E70767"/>
    <w:rsid w:val="00E70B76"/>
    <w:rsid w:val="00E711FF"/>
    <w:rsid w:val="00E716BF"/>
    <w:rsid w:val="00E7178B"/>
    <w:rsid w:val="00E75842"/>
    <w:rsid w:val="00E75E72"/>
    <w:rsid w:val="00E800A3"/>
    <w:rsid w:val="00E80467"/>
    <w:rsid w:val="00E82A71"/>
    <w:rsid w:val="00E831D7"/>
    <w:rsid w:val="00E83711"/>
    <w:rsid w:val="00E84915"/>
    <w:rsid w:val="00E84E49"/>
    <w:rsid w:val="00E85073"/>
    <w:rsid w:val="00E8577E"/>
    <w:rsid w:val="00E8580B"/>
    <w:rsid w:val="00E8652B"/>
    <w:rsid w:val="00E87BE3"/>
    <w:rsid w:val="00E95535"/>
    <w:rsid w:val="00E9555A"/>
    <w:rsid w:val="00E95E0B"/>
    <w:rsid w:val="00E96E0A"/>
    <w:rsid w:val="00E97983"/>
    <w:rsid w:val="00E97CE3"/>
    <w:rsid w:val="00EA51F1"/>
    <w:rsid w:val="00EA57C2"/>
    <w:rsid w:val="00EA7834"/>
    <w:rsid w:val="00EA7ADA"/>
    <w:rsid w:val="00EA7E3C"/>
    <w:rsid w:val="00EB0E9D"/>
    <w:rsid w:val="00EB19D7"/>
    <w:rsid w:val="00EB516C"/>
    <w:rsid w:val="00EB74A8"/>
    <w:rsid w:val="00EC04DD"/>
    <w:rsid w:val="00EC2F82"/>
    <w:rsid w:val="00EC546C"/>
    <w:rsid w:val="00EC7889"/>
    <w:rsid w:val="00ED1334"/>
    <w:rsid w:val="00ED1CCA"/>
    <w:rsid w:val="00ED327B"/>
    <w:rsid w:val="00ED3810"/>
    <w:rsid w:val="00ED489C"/>
    <w:rsid w:val="00ED679D"/>
    <w:rsid w:val="00EE08A5"/>
    <w:rsid w:val="00EE3B45"/>
    <w:rsid w:val="00EE4915"/>
    <w:rsid w:val="00EF05F5"/>
    <w:rsid w:val="00EF0D7A"/>
    <w:rsid w:val="00EF305D"/>
    <w:rsid w:val="00EF7998"/>
    <w:rsid w:val="00EF7DAD"/>
    <w:rsid w:val="00F0076A"/>
    <w:rsid w:val="00F008B7"/>
    <w:rsid w:val="00F0211B"/>
    <w:rsid w:val="00F027EF"/>
    <w:rsid w:val="00F02A2B"/>
    <w:rsid w:val="00F056B0"/>
    <w:rsid w:val="00F05F01"/>
    <w:rsid w:val="00F069FF"/>
    <w:rsid w:val="00F06BD9"/>
    <w:rsid w:val="00F074A0"/>
    <w:rsid w:val="00F10EA7"/>
    <w:rsid w:val="00F1149D"/>
    <w:rsid w:val="00F1467E"/>
    <w:rsid w:val="00F1686E"/>
    <w:rsid w:val="00F178BF"/>
    <w:rsid w:val="00F2108C"/>
    <w:rsid w:val="00F23AB7"/>
    <w:rsid w:val="00F24B79"/>
    <w:rsid w:val="00F254C3"/>
    <w:rsid w:val="00F25D20"/>
    <w:rsid w:val="00F27DFC"/>
    <w:rsid w:val="00F31156"/>
    <w:rsid w:val="00F31D29"/>
    <w:rsid w:val="00F36049"/>
    <w:rsid w:val="00F368C8"/>
    <w:rsid w:val="00F41248"/>
    <w:rsid w:val="00F41F8C"/>
    <w:rsid w:val="00F4411A"/>
    <w:rsid w:val="00F463B5"/>
    <w:rsid w:val="00F5054F"/>
    <w:rsid w:val="00F505DA"/>
    <w:rsid w:val="00F54989"/>
    <w:rsid w:val="00F613E2"/>
    <w:rsid w:val="00F61F23"/>
    <w:rsid w:val="00F621DB"/>
    <w:rsid w:val="00F627CA"/>
    <w:rsid w:val="00F652CB"/>
    <w:rsid w:val="00F67025"/>
    <w:rsid w:val="00F67C43"/>
    <w:rsid w:val="00F7128D"/>
    <w:rsid w:val="00F72966"/>
    <w:rsid w:val="00F73EB6"/>
    <w:rsid w:val="00F75CFC"/>
    <w:rsid w:val="00F76095"/>
    <w:rsid w:val="00F77020"/>
    <w:rsid w:val="00F80B15"/>
    <w:rsid w:val="00F8116C"/>
    <w:rsid w:val="00F81948"/>
    <w:rsid w:val="00F81AF6"/>
    <w:rsid w:val="00F823DA"/>
    <w:rsid w:val="00F82540"/>
    <w:rsid w:val="00F82BC6"/>
    <w:rsid w:val="00F859AB"/>
    <w:rsid w:val="00F85CDB"/>
    <w:rsid w:val="00F8650C"/>
    <w:rsid w:val="00F87B3C"/>
    <w:rsid w:val="00F90151"/>
    <w:rsid w:val="00F925AC"/>
    <w:rsid w:val="00F93C54"/>
    <w:rsid w:val="00F93FAB"/>
    <w:rsid w:val="00F94412"/>
    <w:rsid w:val="00F96ED5"/>
    <w:rsid w:val="00F96FFA"/>
    <w:rsid w:val="00F97A19"/>
    <w:rsid w:val="00FA25D1"/>
    <w:rsid w:val="00FA3B06"/>
    <w:rsid w:val="00FA410C"/>
    <w:rsid w:val="00FA4D70"/>
    <w:rsid w:val="00FA5101"/>
    <w:rsid w:val="00FA72F9"/>
    <w:rsid w:val="00FA7DF5"/>
    <w:rsid w:val="00FB1690"/>
    <w:rsid w:val="00FB184E"/>
    <w:rsid w:val="00FB33DE"/>
    <w:rsid w:val="00FB4AE3"/>
    <w:rsid w:val="00FB5972"/>
    <w:rsid w:val="00FB5DD8"/>
    <w:rsid w:val="00FB7956"/>
    <w:rsid w:val="00FC0900"/>
    <w:rsid w:val="00FC0DCD"/>
    <w:rsid w:val="00FC184D"/>
    <w:rsid w:val="00FC1AF7"/>
    <w:rsid w:val="00FC36ED"/>
    <w:rsid w:val="00FC6353"/>
    <w:rsid w:val="00FC6362"/>
    <w:rsid w:val="00FC69DD"/>
    <w:rsid w:val="00FD0C93"/>
    <w:rsid w:val="00FD29FA"/>
    <w:rsid w:val="00FD43D9"/>
    <w:rsid w:val="00FE016A"/>
    <w:rsid w:val="00FE108C"/>
    <w:rsid w:val="00FE328A"/>
    <w:rsid w:val="00FE3979"/>
    <w:rsid w:val="00FE4869"/>
    <w:rsid w:val="00FE5D00"/>
    <w:rsid w:val="00FE6E1C"/>
    <w:rsid w:val="00FE6F5B"/>
    <w:rsid w:val="00FE7DA6"/>
    <w:rsid w:val="00FF030C"/>
    <w:rsid w:val="00FF1540"/>
    <w:rsid w:val="00FF1C3F"/>
    <w:rsid w:val="00FF35F6"/>
    <w:rsid w:val="00FF4966"/>
    <w:rsid w:val="00FF5DD7"/>
    <w:rsid w:val="00FF6B8C"/>
    <w:rsid w:val="00FF6C47"/>
    <w:rsid w:val="00FF7094"/>
    <w:rsid w:val="00FF75B8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6D6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4CA4"/>
    <w:pPr>
      <w:spacing w:line="252" w:lineRule="auto"/>
      <w:jc w:val="both"/>
    </w:pPr>
    <w:rPr>
      <w:rFonts w:asciiTheme="minorHAnsi" w:eastAsiaTheme="minorEastAsia" w:hAnsiTheme="minorHAnsi"/>
      <w:sz w:val="22"/>
      <w:szCs w:val="24"/>
    </w:rPr>
  </w:style>
  <w:style w:type="paragraph" w:styleId="Nadpis1">
    <w:name w:val="heading 1"/>
    <w:basedOn w:val="Normln"/>
    <w:link w:val="Nadpis1Char"/>
    <w:autoRedefine/>
    <w:uiPriority w:val="9"/>
    <w:qFormat/>
    <w:rsid w:val="00EC2F82"/>
    <w:pPr>
      <w:numPr>
        <w:numId w:val="7"/>
      </w:numPr>
      <w:tabs>
        <w:tab w:val="left" w:pos="851"/>
      </w:tabs>
      <w:spacing w:before="240"/>
      <w:ind w:left="714" w:hanging="357"/>
      <w:outlineLvl w:val="0"/>
    </w:pPr>
    <w:rPr>
      <w:rFonts w:ascii="Calibri Light" w:hAnsi="Calibri Light"/>
      <w:b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6F747F"/>
    <w:pPr>
      <w:tabs>
        <w:tab w:val="left" w:pos="851"/>
      </w:tabs>
      <w:spacing w:line="240" w:lineRule="auto"/>
      <w:outlineLvl w:val="1"/>
    </w:pPr>
    <w:rPr>
      <w:rFonts w:ascii="Calibri Light" w:hAnsi="Calibri Light"/>
      <w:b/>
      <w:sz w:val="28"/>
      <w:szCs w:val="28"/>
    </w:rPr>
  </w:style>
  <w:style w:type="paragraph" w:styleId="Nadpis3">
    <w:name w:val="heading 3"/>
    <w:basedOn w:val="Normln"/>
    <w:link w:val="Nadpis3Char"/>
    <w:autoRedefine/>
    <w:uiPriority w:val="9"/>
    <w:qFormat/>
    <w:rsid w:val="0043649F"/>
    <w:pPr>
      <w:numPr>
        <w:numId w:val="1"/>
      </w:numPr>
      <w:spacing w:before="120"/>
      <w:ind w:left="714" w:hanging="357"/>
      <w:outlineLvl w:val="2"/>
    </w:pPr>
    <w:rPr>
      <w:rFonts w:ascii="Calibri Light" w:hAnsi="Calibri Light"/>
      <w:b/>
      <w:sz w:val="24"/>
      <w:szCs w:val="28"/>
    </w:rPr>
  </w:style>
  <w:style w:type="paragraph" w:styleId="Nadpis4">
    <w:name w:val="heading 4"/>
    <w:basedOn w:val="Normln"/>
    <w:link w:val="Nadpis4Char"/>
    <w:uiPriority w:val="9"/>
    <w:qFormat/>
    <w:rsid w:val="00110944"/>
    <w:pPr>
      <w:keepNext/>
      <w:outlineLvl w:val="3"/>
    </w:pPr>
    <w:rPr>
      <w:rFonts w:ascii="Arial" w:hAnsi="Arial" w:cs="Arial"/>
      <w:color w:val="000000"/>
      <w:sz w:val="36"/>
      <w:szCs w:val="36"/>
    </w:rPr>
  </w:style>
  <w:style w:type="paragraph" w:styleId="Nadpis5">
    <w:name w:val="heading 5"/>
    <w:basedOn w:val="Normln"/>
    <w:link w:val="Nadpis5Char"/>
    <w:uiPriority w:val="9"/>
    <w:qFormat/>
    <w:rsid w:val="00110944"/>
    <w:pPr>
      <w:keepNext/>
      <w:outlineLvl w:val="4"/>
    </w:pPr>
    <w:rPr>
      <w:rFonts w:ascii="Arial" w:hAnsi="Arial" w:cs="Arial"/>
      <w:sz w:val="40"/>
      <w:szCs w:val="40"/>
    </w:rPr>
  </w:style>
  <w:style w:type="paragraph" w:styleId="Nadpis6">
    <w:name w:val="heading 6"/>
    <w:basedOn w:val="Normln"/>
    <w:link w:val="Nadpis6Char"/>
    <w:uiPriority w:val="9"/>
    <w:qFormat/>
    <w:rsid w:val="00110944"/>
    <w:pPr>
      <w:keepNext/>
      <w:outlineLvl w:val="5"/>
    </w:pPr>
    <w:rPr>
      <w:rFonts w:ascii="Arial" w:hAnsi="Arial" w:cs="Arial"/>
      <w:sz w:val="32"/>
      <w:szCs w:val="32"/>
    </w:rPr>
  </w:style>
  <w:style w:type="paragraph" w:styleId="Nadpis7">
    <w:name w:val="heading 7"/>
    <w:basedOn w:val="Normln"/>
    <w:link w:val="Nadpis7Char"/>
    <w:uiPriority w:val="9"/>
    <w:qFormat/>
    <w:rsid w:val="00110944"/>
    <w:pPr>
      <w:keepNext/>
      <w:outlineLvl w:val="6"/>
    </w:pPr>
    <w:rPr>
      <w:rFonts w:ascii="Arial" w:hAnsi="Arial" w:cs="Arial"/>
      <w:sz w:val="36"/>
      <w:szCs w:val="36"/>
    </w:rPr>
  </w:style>
  <w:style w:type="paragraph" w:styleId="Nadpis8">
    <w:name w:val="heading 8"/>
    <w:basedOn w:val="Normln"/>
    <w:link w:val="Nadpis8Char"/>
    <w:uiPriority w:val="9"/>
    <w:qFormat/>
    <w:rsid w:val="00110944"/>
    <w:pPr>
      <w:keepNext/>
      <w:outlineLvl w:val="7"/>
    </w:pPr>
    <w:rPr>
      <w:rFonts w:ascii="Arial" w:hAnsi="Arial" w:cs="Arial"/>
      <w:sz w:val="28"/>
      <w:szCs w:val="28"/>
    </w:rPr>
  </w:style>
  <w:style w:type="paragraph" w:styleId="Nadpis9">
    <w:name w:val="heading 9"/>
    <w:basedOn w:val="Normln"/>
    <w:link w:val="Nadpis9Char"/>
    <w:uiPriority w:val="9"/>
    <w:qFormat/>
    <w:rsid w:val="00110944"/>
    <w:pPr>
      <w:keepNext/>
      <w:outlineLvl w:val="8"/>
    </w:pPr>
    <w:rPr>
      <w:rFonts w:ascii="Arial" w:hAnsi="Arial" w:cs="Arial"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2F82"/>
    <w:rPr>
      <w:rFonts w:ascii="Calibri Light" w:eastAsiaTheme="minorEastAsia" w:hAnsi="Calibri Light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F747F"/>
    <w:rPr>
      <w:rFonts w:ascii="Calibri Light" w:eastAsiaTheme="minorEastAsia" w:hAnsi="Calibri Light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3649F"/>
    <w:rPr>
      <w:rFonts w:ascii="Calibri Light" w:eastAsiaTheme="minorEastAsia" w:hAnsi="Calibri Light"/>
      <w:b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10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109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1094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1094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109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vbloku">
    <w:name w:val="Block Text"/>
    <w:basedOn w:val="Normln"/>
    <w:uiPriority w:val="99"/>
    <w:semiHidden/>
    <w:unhideWhenUsed/>
    <w:rsid w:val="00110944"/>
    <w:pPr>
      <w:ind w:left="1416" w:right="-468" w:firstLine="708"/>
    </w:pPr>
    <w:rPr>
      <w:rFonts w:ascii="Arial" w:hAnsi="Arial" w:cs="Arial"/>
      <w:color w:val="000000"/>
      <w:sz w:val="44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C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CBB"/>
    <w:rPr>
      <w:rFonts w:ascii="Tahoma" w:eastAsiaTheme="minorEastAsi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B09D6"/>
    <w:pPr>
      <w:spacing w:after="200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Zhlav">
    <w:name w:val="header"/>
    <w:aliases w:val="záhlaví"/>
    <w:basedOn w:val="Normln"/>
    <w:link w:val="ZhlavChar"/>
    <w:unhideWhenUsed/>
    <w:rsid w:val="005B0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rsid w:val="005B09D6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B0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09D6"/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9015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901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unhideWhenUsed/>
    <w:rsid w:val="008413B2"/>
    <w:pPr>
      <w:spacing w:before="100" w:beforeAutospacing="1" w:after="100" w:afterAutospacing="1"/>
    </w:pPr>
    <w:rPr>
      <w:rFonts w:eastAsia="Times New Roman"/>
    </w:rPr>
  </w:style>
  <w:style w:type="character" w:styleId="Siln">
    <w:name w:val="Strong"/>
    <w:basedOn w:val="Standardnpsmoodstavce"/>
    <w:uiPriority w:val="22"/>
    <w:qFormat/>
    <w:rsid w:val="008413B2"/>
    <w:rPr>
      <w:b/>
      <w:bCs/>
    </w:rPr>
  </w:style>
  <w:style w:type="paragraph" w:customStyle="1" w:styleId="TZ-text">
    <w:name w:val="TZ - text"/>
    <w:basedOn w:val="Prosttext"/>
    <w:link w:val="TZ-textChar"/>
    <w:rsid w:val="00A92EB1"/>
    <w:pPr>
      <w:spacing w:after="200"/>
      <w:ind w:left="1134"/>
    </w:pPr>
    <w:rPr>
      <w:rFonts w:asciiTheme="minorHAnsi" w:eastAsia="MS Mincho" w:hAnsiTheme="minorHAnsi" w:cs="Arial"/>
      <w:sz w:val="22"/>
    </w:rPr>
  </w:style>
  <w:style w:type="character" w:customStyle="1" w:styleId="TZ-textChar">
    <w:name w:val="TZ - text Char"/>
    <w:basedOn w:val="ProsttextChar"/>
    <w:link w:val="TZ-text"/>
    <w:rsid w:val="00A92EB1"/>
    <w:rPr>
      <w:rFonts w:asciiTheme="minorHAnsi" w:eastAsia="MS Mincho" w:hAnsiTheme="minorHAnsi" w:cs="Arial"/>
      <w:sz w:val="22"/>
      <w:szCs w:val="21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92EB1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92EB1"/>
    <w:rPr>
      <w:rFonts w:ascii="Consolas" w:eastAsiaTheme="minorEastAsia" w:hAnsi="Consolas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035778"/>
    <w:pPr>
      <w:keepNext/>
      <w:keepLines/>
      <w:tabs>
        <w:tab w:val="clear" w:pos="851"/>
      </w:tabs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035778"/>
    <w:pPr>
      <w:spacing w:before="120"/>
      <w:jc w:val="left"/>
    </w:pPr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2108C"/>
    <w:pPr>
      <w:tabs>
        <w:tab w:val="left" w:pos="960"/>
        <w:tab w:val="right" w:leader="dot" w:pos="9856"/>
      </w:tabs>
      <w:ind w:left="480"/>
      <w:jc w:val="left"/>
    </w:pPr>
    <w:rPr>
      <w:rFonts w:ascii="Calibri Light" w:hAnsi="Calibri Light"/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35778"/>
    <w:pPr>
      <w:ind w:left="240"/>
      <w:jc w:val="left"/>
    </w:pPr>
    <w:rPr>
      <w:small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DD012E"/>
    <w:pPr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D012E"/>
    <w:pPr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D012E"/>
    <w:pPr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D012E"/>
    <w:pPr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D012E"/>
    <w:pPr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D012E"/>
    <w:pPr>
      <w:ind w:left="1920"/>
      <w:jc w:val="left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E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38B"/>
    <w:rPr>
      <w:rFonts w:asciiTheme="minorHAnsi" w:eastAsiaTheme="minorEastAsia" w:hAnsiTheme="minorHAns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38B"/>
    <w:rPr>
      <w:rFonts w:asciiTheme="minorHAnsi" w:eastAsiaTheme="minorEastAsia" w:hAnsiTheme="minorHAnsi"/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590D"/>
    <w:rPr>
      <w:color w:val="808080"/>
      <w:shd w:val="clear" w:color="auto" w:fill="E6E6E6"/>
    </w:rPr>
  </w:style>
  <w:style w:type="character" w:styleId="Zstupntext">
    <w:name w:val="Placeholder Text"/>
    <w:basedOn w:val="Standardnpsmoodstavce"/>
    <w:uiPriority w:val="99"/>
    <w:semiHidden/>
    <w:rsid w:val="001A08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2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80963-2BDE-4E2E-BBF4-BF74C4E7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3869</Words>
  <Characters>24010</Characters>
  <Application>Microsoft Office Word</Application>
  <DocSecurity>0</DocSecurity>
  <Lines>200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2021-04-26T08:45:00Z</dcterms:created>
  <dcterms:modified xsi:type="dcterms:W3CDTF">2022-11-29T18:09:00Z</dcterms:modified>
</cp:coreProperties>
</file>